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936A3" w14:textId="3798C092" w:rsidR="008A0280" w:rsidRDefault="003966E0" w:rsidP="005748F1">
      <w:pPr>
        <w:pStyle w:val="Heading1"/>
      </w:pPr>
      <w:r>
        <w:t>Summary</w:t>
      </w:r>
    </w:p>
    <w:p w14:paraId="7A207841" w14:textId="09F4655E" w:rsidR="009606FE" w:rsidRDefault="00C047C4" w:rsidP="009606FE">
      <w:r>
        <w:t xml:space="preserve">In earlier articles, we saw that unique formal 3-grams and </w:t>
      </w:r>
      <w:r w:rsidR="007630DA">
        <w:t xml:space="preserve">unique formal </w:t>
      </w:r>
      <w:r>
        <w:t xml:space="preserve">4-grams are the most reliable for authorship attribution by the method I used. </w:t>
      </w:r>
      <w:r w:rsidR="007630DA">
        <w:t xml:space="preserve">In this article I use the method with </w:t>
      </w:r>
      <w:r w:rsidR="007F7E2A">
        <w:t xml:space="preserve">just </w:t>
      </w:r>
      <w:r w:rsidR="007630DA">
        <w:t>th</w:t>
      </w:r>
      <w:r w:rsidR="00D16C68">
        <w:t>o</w:t>
      </w:r>
      <w:r w:rsidR="007630DA">
        <w:t>se N-grams</w:t>
      </w:r>
      <w:r w:rsidR="007F7E2A">
        <w:t>,</w:t>
      </w:r>
      <w:r w:rsidR="007630DA">
        <w:t xml:space="preserve"> to test authorship attributions for </w:t>
      </w:r>
      <w:r w:rsidR="007630DA" w:rsidRPr="007630DA">
        <w:rPr>
          <w:i/>
        </w:rPr>
        <w:t>Arden of Faversham</w:t>
      </w:r>
      <w:r w:rsidR="007630DA">
        <w:t xml:space="preserve"> and the so-called extended Kyd canon.</w:t>
      </w:r>
    </w:p>
    <w:p w14:paraId="646D07A8" w14:textId="3E37BEE4" w:rsidR="007630DA" w:rsidRDefault="0020166D" w:rsidP="009606FE">
      <w:r w:rsidRPr="00D9107A">
        <w:rPr>
          <w:color w:val="C45911" w:themeColor="accent2" w:themeShade="BF"/>
        </w:rPr>
        <w:t xml:space="preserve">We see below that the method accepts some, but not all, of the extended Kyd canon attributions. It supports the attribution of the whole of </w:t>
      </w:r>
      <w:r w:rsidRPr="00D9107A">
        <w:rPr>
          <w:i/>
          <w:color w:val="C45911" w:themeColor="accent2" w:themeShade="BF"/>
        </w:rPr>
        <w:t>Arden of Faversham</w:t>
      </w:r>
      <w:r w:rsidRPr="00D9107A">
        <w:rPr>
          <w:color w:val="C45911" w:themeColor="accent2" w:themeShade="BF"/>
        </w:rPr>
        <w:t xml:space="preserve"> to Kyd. It also </w:t>
      </w:r>
      <w:r w:rsidR="006611D7">
        <w:rPr>
          <w:color w:val="C45911" w:themeColor="accent2" w:themeShade="BF"/>
        </w:rPr>
        <w:t>supports</w:t>
      </w:r>
      <w:r w:rsidR="004D0846">
        <w:rPr>
          <w:color w:val="C45911" w:themeColor="accent2" w:themeShade="BF"/>
        </w:rPr>
        <w:t xml:space="preserve"> claims of</w:t>
      </w:r>
      <w:r w:rsidRPr="00D9107A">
        <w:rPr>
          <w:color w:val="C45911" w:themeColor="accent2" w:themeShade="BF"/>
        </w:rPr>
        <w:t xml:space="preserve"> the influence of Kyd on the young Shakespeare.</w:t>
      </w:r>
      <w:r w:rsidR="000513C0">
        <w:rPr>
          <w:color w:val="C45911" w:themeColor="accent2" w:themeShade="BF"/>
        </w:rPr>
        <w:t xml:space="preserve"> However, for the reasons I give, this should </w:t>
      </w:r>
      <w:r w:rsidR="000513C0" w:rsidRPr="000513C0">
        <w:rPr>
          <w:color w:val="C45911" w:themeColor="accent2" w:themeShade="BF"/>
          <w:u w:val="single"/>
        </w:rPr>
        <w:t>not</w:t>
      </w:r>
      <w:r w:rsidR="000513C0">
        <w:rPr>
          <w:color w:val="C45911" w:themeColor="accent2" w:themeShade="BF"/>
        </w:rPr>
        <w:t xml:space="preserve"> be taken as a rejection of the attribution of scenes 4-9 of </w:t>
      </w:r>
      <w:r w:rsidR="000513C0" w:rsidRPr="000513C0">
        <w:rPr>
          <w:i/>
          <w:color w:val="C45911" w:themeColor="accent2" w:themeShade="BF"/>
        </w:rPr>
        <w:t>Arden</w:t>
      </w:r>
      <w:r w:rsidR="000513C0">
        <w:rPr>
          <w:color w:val="C45911" w:themeColor="accent2" w:themeShade="BF"/>
        </w:rPr>
        <w:t xml:space="preserve"> to Shakespeare.</w:t>
      </w:r>
    </w:p>
    <w:p w14:paraId="0B47F20B" w14:textId="1352AD75" w:rsidR="00FA0749" w:rsidRDefault="00FA0749" w:rsidP="00FA0749">
      <w:pPr>
        <w:pStyle w:val="Heading1"/>
      </w:pPr>
      <w:r>
        <w:t>The Extended Kyd Canon</w:t>
      </w:r>
    </w:p>
    <w:p w14:paraId="50A9EF70" w14:textId="77777777" w:rsidR="00D439EB" w:rsidRDefault="00D439EB" w:rsidP="00D439EB">
      <w:r>
        <w:t>For these new tests I have made a further improvement. When the method rejects an attribution, then the winning author’s name is now also shown in the red cell, to save having to look it up from the raw data spreadsheet. To avoid clutter, I have not given the runner-up’s name in a green cell, but that information may sometimes be useful, and it can be looked up from the raw data.</w:t>
      </w:r>
    </w:p>
    <w:p w14:paraId="43886262" w14:textId="1A79C9A9" w:rsidR="00FA0749" w:rsidRDefault="00FA0749" w:rsidP="009606FE">
      <w:r>
        <w:t xml:space="preserve">I </w:t>
      </w:r>
      <w:r w:rsidR="00D162B4">
        <w:t>use</w:t>
      </w:r>
      <w:r w:rsidR="00F63DAA">
        <w:t>d</w:t>
      </w:r>
      <w:r>
        <w:t xml:space="preserve"> the 86 plays used before, and add</w:t>
      </w:r>
      <w:r w:rsidR="00F63DAA">
        <w:t>ed</w:t>
      </w:r>
      <w:r>
        <w:t xml:space="preserve"> the extended Kyd canon, consisting of the following plays:</w:t>
      </w:r>
    </w:p>
    <w:p w14:paraId="53F91C93" w14:textId="755BBA3F" w:rsidR="00FA0749" w:rsidRPr="00B80379" w:rsidRDefault="00FA0749" w:rsidP="00FA0749">
      <w:pPr>
        <w:pStyle w:val="ListParagraph"/>
        <w:numPr>
          <w:ilvl w:val="0"/>
          <w:numId w:val="1"/>
        </w:numPr>
        <w:rPr>
          <w:i/>
        </w:rPr>
      </w:pPr>
      <w:r w:rsidRPr="00B80379">
        <w:rPr>
          <w:i/>
        </w:rPr>
        <w:t>The Spanish Tragedy (excluding the Additions)</w:t>
      </w:r>
    </w:p>
    <w:p w14:paraId="5B04E740" w14:textId="10E0FD8E" w:rsidR="00FA0749" w:rsidRPr="00B80379" w:rsidRDefault="00FA0749" w:rsidP="00FA0749">
      <w:pPr>
        <w:pStyle w:val="ListParagraph"/>
        <w:numPr>
          <w:ilvl w:val="0"/>
          <w:numId w:val="1"/>
        </w:numPr>
        <w:rPr>
          <w:i/>
        </w:rPr>
      </w:pPr>
      <w:r w:rsidRPr="00B80379">
        <w:rPr>
          <w:i/>
        </w:rPr>
        <w:t xml:space="preserve">Soliman and </w:t>
      </w:r>
      <w:proofErr w:type="spellStart"/>
      <w:r w:rsidRPr="00B80379">
        <w:rPr>
          <w:i/>
        </w:rPr>
        <w:t>Perseda</w:t>
      </w:r>
      <w:proofErr w:type="spellEnd"/>
    </w:p>
    <w:p w14:paraId="226BE81C" w14:textId="34F6F409" w:rsidR="00FA0749" w:rsidRPr="00B80379" w:rsidRDefault="00FA0749" w:rsidP="00FA0749">
      <w:pPr>
        <w:pStyle w:val="ListParagraph"/>
        <w:numPr>
          <w:ilvl w:val="0"/>
          <w:numId w:val="1"/>
        </w:numPr>
        <w:rPr>
          <w:i/>
        </w:rPr>
      </w:pPr>
      <w:r w:rsidRPr="00B80379">
        <w:rPr>
          <w:i/>
        </w:rPr>
        <w:t>Cornelia</w:t>
      </w:r>
    </w:p>
    <w:p w14:paraId="00FCC6DA" w14:textId="2458FF9F" w:rsidR="00FA0749" w:rsidRPr="00B80379" w:rsidRDefault="00B354C0" w:rsidP="00FA0749">
      <w:pPr>
        <w:pStyle w:val="ListParagraph"/>
        <w:numPr>
          <w:ilvl w:val="0"/>
          <w:numId w:val="1"/>
        </w:numPr>
        <w:rPr>
          <w:i/>
        </w:rPr>
      </w:pPr>
      <w:r w:rsidRPr="00B80379">
        <w:rPr>
          <w:i/>
        </w:rPr>
        <w:t xml:space="preserve">Fair </w:t>
      </w:r>
      <w:proofErr w:type="spellStart"/>
      <w:r w:rsidRPr="00B80379">
        <w:rPr>
          <w:i/>
        </w:rPr>
        <w:t>Em</w:t>
      </w:r>
      <w:proofErr w:type="spellEnd"/>
    </w:p>
    <w:p w14:paraId="0553479D" w14:textId="66ACEDDD" w:rsidR="00B354C0" w:rsidRPr="00B80379" w:rsidRDefault="00B354C0" w:rsidP="00FA0749">
      <w:pPr>
        <w:pStyle w:val="ListParagraph"/>
        <w:numPr>
          <w:ilvl w:val="0"/>
          <w:numId w:val="1"/>
        </w:numPr>
        <w:rPr>
          <w:i/>
        </w:rPr>
      </w:pPr>
      <w:r w:rsidRPr="00B80379">
        <w:rPr>
          <w:i/>
        </w:rPr>
        <w:t>Arden of Faversham</w:t>
      </w:r>
    </w:p>
    <w:p w14:paraId="132E1D6A" w14:textId="01C781B5" w:rsidR="00B354C0" w:rsidRPr="00B80379" w:rsidRDefault="00B354C0" w:rsidP="00FA0749">
      <w:pPr>
        <w:pStyle w:val="ListParagraph"/>
        <w:numPr>
          <w:ilvl w:val="0"/>
          <w:numId w:val="1"/>
        </w:numPr>
        <w:rPr>
          <w:i/>
        </w:rPr>
      </w:pPr>
      <w:r w:rsidRPr="00B80379">
        <w:rPr>
          <w:i/>
        </w:rPr>
        <w:t xml:space="preserve">Edward III (excluding the Countess scenes and </w:t>
      </w:r>
      <w:r w:rsidR="001B513B">
        <w:rPr>
          <w:i/>
        </w:rPr>
        <w:t xml:space="preserve">excluding </w:t>
      </w:r>
      <w:r w:rsidRPr="00B80379">
        <w:rPr>
          <w:i/>
        </w:rPr>
        <w:t>4.4)</w:t>
      </w:r>
    </w:p>
    <w:p w14:paraId="37D9A032" w14:textId="65CA6988" w:rsidR="00B354C0" w:rsidRPr="00B80379" w:rsidRDefault="00B354C0" w:rsidP="00FA0749">
      <w:pPr>
        <w:pStyle w:val="ListParagraph"/>
        <w:numPr>
          <w:ilvl w:val="0"/>
          <w:numId w:val="1"/>
        </w:numPr>
        <w:rPr>
          <w:i/>
        </w:rPr>
      </w:pPr>
      <w:r w:rsidRPr="00B80379">
        <w:rPr>
          <w:i/>
        </w:rPr>
        <w:t>Henry VI, Part 1 (excluding Act 1 and excluding 2.4, 4.2 and 4.5)</w:t>
      </w:r>
    </w:p>
    <w:p w14:paraId="213F6917" w14:textId="51972B60" w:rsidR="00B354C0" w:rsidRPr="00B80379" w:rsidRDefault="00B354C0" w:rsidP="00FA0749">
      <w:pPr>
        <w:pStyle w:val="ListParagraph"/>
        <w:numPr>
          <w:ilvl w:val="0"/>
          <w:numId w:val="1"/>
        </w:numPr>
        <w:rPr>
          <w:i/>
        </w:rPr>
      </w:pPr>
      <w:r w:rsidRPr="00B80379">
        <w:rPr>
          <w:i/>
        </w:rPr>
        <w:t>King Leir</w:t>
      </w:r>
    </w:p>
    <w:p w14:paraId="2F67D280" w14:textId="4644F12A" w:rsidR="00B354C0" w:rsidRDefault="002A1BA5" w:rsidP="00B354C0">
      <w:r>
        <w:t xml:space="preserve">For this test, </w:t>
      </w:r>
      <w:r w:rsidR="002D78C4">
        <w:t>I add</w:t>
      </w:r>
      <w:r w:rsidR="00F63DAA">
        <w:t>ed</w:t>
      </w:r>
      <w:r w:rsidR="002D78C4">
        <w:t xml:space="preserve"> Kyd as an author and assign</w:t>
      </w:r>
      <w:r w:rsidR="00F63DAA">
        <w:t>ed</w:t>
      </w:r>
      <w:r w:rsidR="002D78C4">
        <w:t xml:space="preserve"> all the above plays to him. The raw data and summary </w:t>
      </w:r>
      <w:r w:rsidR="00BB5297">
        <w:t>of the results</w:t>
      </w:r>
      <w:r w:rsidR="002D78C4">
        <w:t xml:space="preserve"> are here:</w:t>
      </w:r>
    </w:p>
    <w:p w14:paraId="0BEA0FA4" w14:textId="4CEDF348" w:rsidR="002D78C4" w:rsidRDefault="00FD4C95" w:rsidP="00B354C0">
      <w:r>
        <w:object w:dxaOrig="1500" w:dyaOrig="982" w14:anchorId="31B1E0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1pt" o:ole="">
            <v:imagedata r:id="rId8" o:title=""/>
          </v:shape>
          <o:OLEObject Type="Embed" ProgID="Excel.Sheet.12" ShapeID="_x0000_i1025" DrawAspect="Icon" ObjectID="_1603126876" r:id="rId9"/>
        </w:object>
      </w:r>
      <w:r>
        <w:object w:dxaOrig="1500" w:dyaOrig="982" w14:anchorId="100FE5C2">
          <v:shape id="_x0000_i1026" type="#_x0000_t75" style="width:75pt;height:49.1pt" o:ole="">
            <v:imagedata r:id="rId10" o:title=""/>
          </v:shape>
          <o:OLEObject Type="Embed" ProgID="Excel.Sheet.12" ShapeID="_x0000_i1026" DrawAspect="Icon" ObjectID="_1603126877" r:id="rId11"/>
        </w:object>
      </w:r>
    </w:p>
    <w:p w14:paraId="43BB7974" w14:textId="4EDD1543" w:rsidR="00881EB7" w:rsidRDefault="00BE0D23" w:rsidP="00B354C0">
      <w:r>
        <w:t xml:space="preserve">We see that the first five plays listed above are all accepted by the method as being by Kyd, including the whole </w:t>
      </w:r>
      <w:r w:rsidRPr="00BE0D23">
        <w:rPr>
          <w:i/>
        </w:rPr>
        <w:t>Arden of Faversham</w:t>
      </w:r>
      <w:r>
        <w:t xml:space="preserve"> play. </w:t>
      </w:r>
      <w:r w:rsidR="00CD7A36">
        <w:t xml:space="preserve">The other three are assigned to Marlowe, </w:t>
      </w:r>
      <w:r w:rsidR="00234FA6">
        <w:t xml:space="preserve">except that 4-grams assign the </w:t>
      </w:r>
      <w:r w:rsidR="00234FA6" w:rsidRPr="00234FA6">
        <w:rPr>
          <w:i/>
        </w:rPr>
        <w:t>Edward III</w:t>
      </w:r>
      <w:r w:rsidR="00234FA6">
        <w:t xml:space="preserve"> scenes to Kyd</w:t>
      </w:r>
      <w:r w:rsidR="000979AA">
        <w:t>,</w:t>
      </w:r>
      <w:r w:rsidR="00881EB7">
        <w:t xml:space="preserve"> by a strong margin</w:t>
      </w:r>
      <w:r w:rsidR="00234FA6">
        <w:t xml:space="preserve">. </w:t>
      </w:r>
    </w:p>
    <w:p w14:paraId="7D9DF412" w14:textId="56CC4FE6" w:rsidR="009955A2" w:rsidRDefault="00234FA6" w:rsidP="00B354C0">
      <w:r>
        <w:t>T</w:t>
      </w:r>
      <w:r w:rsidR="00CD7A36">
        <w:t>he raw data reveals Kyd to be the runner-up</w:t>
      </w:r>
      <w:r>
        <w:t xml:space="preserve"> for the</w:t>
      </w:r>
      <w:r w:rsidR="00CD7A36">
        <w:t xml:space="preserve"> </w:t>
      </w:r>
      <w:r w:rsidRPr="00565D3F">
        <w:rPr>
          <w:i/>
        </w:rPr>
        <w:t>1 Henry VI</w:t>
      </w:r>
      <w:r>
        <w:t xml:space="preserve"> scenes</w:t>
      </w:r>
      <w:r w:rsidR="00881EB7">
        <w:t xml:space="preserve"> and the runner-up using 3-grams for </w:t>
      </w:r>
      <w:r w:rsidR="00881EB7" w:rsidRPr="00565D3F">
        <w:rPr>
          <w:i/>
        </w:rPr>
        <w:t>Edward III</w:t>
      </w:r>
      <w:r w:rsidR="00CD7A36">
        <w:t>.</w:t>
      </w:r>
      <w:r w:rsidR="00881EB7">
        <w:t xml:space="preserve"> </w:t>
      </w:r>
      <w:r w:rsidR="0086298A">
        <w:t xml:space="preserve">However, it is </w:t>
      </w:r>
      <w:r w:rsidR="00881EB7">
        <w:t>Shakespeare</w:t>
      </w:r>
      <w:r w:rsidR="00BB68D1">
        <w:t>, not Kyd,</w:t>
      </w:r>
      <w:r w:rsidR="00881EB7">
        <w:t xml:space="preserve"> </w:t>
      </w:r>
      <w:r w:rsidR="0086298A">
        <w:t xml:space="preserve">who </w:t>
      </w:r>
      <w:r w:rsidR="00881EB7">
        <w:t xml:space="preserve">is the runner-up </w:t>
      </w:r>
      <w:r w:rsidR="00807131">
        <w:t xml:space="preserve">behind Marlowe </w:t>
      </w:r>
      <w:r w:rsidR="00881EB7">
        <w:t xml:space="preserve">for </w:t>
      </w:r>
      <w:r w:rsidR="00881EB7" w:rsidRPr="00565D3F">
        <w:rPr>
          <w:i/>
        </w:rPr>
        <w:t>King Leir</w:t>
      </w:r>
      <w:r w:rsidR="00881EB7">
        <w:t xml:space="preserve">, </w:t>
      </w:r>
      <w:r w:rsidR="007D1DE8">
        <w:t>possibly</w:t>
      </w:r>
      <w:r w:rsidR="00881EB7">
        <w:t xml:space="preserve"> because of matches with </w:t>
      </w:r>
      <w:r w:rsidR="00881EB7" w:rsidRPr="00565D3F">
        <w:rPr>
          <w:i/>
        </w:rPr>
        <w:t>King Lear</w:t>
      </w:r>
      <w:r w:rsidR="00881EB7">
        <w:t xml:space="preserve"> (though this needs to be checked).</w:t>
      </w:r>
      <w:r w:rsidR="00565D3F">
        <w:t xml:space="preserve"> </w:t>
      </w:r>
    </w:p>
    <w:p w14:paraId="51372A47" w14:textId="4B292E4C" w:rsidR="00881EB7" w:rsidRDefault="00904F65" w:rsidP="00B354C0">
      <w:r>
        <w:t xml:space="preserve">Introducing Kyd into the mix causes changes to the Marlowe attributions. </w:t>
      </w:r>
      <w:r w:rsidR="00B36319" w:rsidRPr="00B36319">
        <w:rPr>
          <w:i/>
        </w:rPr>
        <w:t>The Jew of Malta</w:t>
      </w:r>
      <w:r w:rsidR="00B36319">
        <w:t xml:space="preserve"> now shifts to Kyd, as does </w:t>
      </w:r>
      <w:r w:rsidR="00B36319" w:rsidRPr="00B36319">
        <w:rPr>
          <w:i/>
        </w:rPr>
        <w:t>Edward II</w:t>
      </w:r>
      <w:r w:rsidR="00B36319">
        <w:t xml:space="preserve"> using 4-grams, albeit weakly.</w:t>
      </w:r>
      <w:r w:rsidR="00390A7D">
        <w:t xml:space="preserve"> It is noticeable how, excepting the </w:t>
      </w:r>
      <w:r w:rsidR="00390A7D" w:rsidRPr="00390A7D">
        <w:rPr>
          <w:i/>
        </w:rPr>
        <w:t>Tamburlaine</w:t>
      </w:r>
      <w:r w:rsidR="00390A7D">
        <w:t xml:space="preserve"> plays – which are invulnerable because of the way the</w:t>
      </w:r>
      <w:r w:rsidR="0075002B">
        <w:t>y</w:t>
      </w:r>
      <w:r w:rsidR="00390A7D">
        <w:t xml:space="preserve"> help each other with plentiful matches – Kyd and Marlowe appear to be almost interchangeable. </w:t>
      </w:r>
      <w:r w:rsidR="0075002B">
        <w:t xml:space="preserve">They were room-mates, and Kyd was tortured because some of Marlowe’s words were mistakenly </w:t>
      </w:r>
      <w:r w:rsidR="0075002B">
        <w:lastRenderedPageBreak/>
        <w:t>thought to be his. We will never know how many words in each man’s plays came from the other’s pen.</w:t>
      </w:r>
    </w:p>
    <w:p w14:paraId="2A1AE429" w14:textId="5AB39A2E" w:rsidR="00D83446" w:rsidRDefault="007A14B4" w:rsidP="00B354C0">
      <w:r>
        <w:t xml:space="preserve">A more interesting change occurs to the Shakespeare attributions. Observe how </w:t>
      </w:r>
      <w:r w:rsidR="004041DE">
        <w:t>some</w:t>
      </w:r>
      <w:r>
        <w:t xml:space="preserve"> early plays shift attribution to Kyd, while the middle and late</w:t>
      </w:r>
      <w:r w:rsidR="00D83446">
        <w:t xml:space="preserve"> </w:t>
      </w:r>
      <w:r>
        <w:t xml:space="preserve">plays are unaffected. </w:t>
      </w:r>
      <w:r w:rsidR="00133675">
        <w:t xml:space="preserve">Among the early plays, only </w:t>
      </w:r>
      <w:r w:rsidR="00133675" w:rsidRPr="00133675">
        <w:rPr>
          <w:i/>
        </w:rPr>
        <w:t>The Comedy of Errors</w:t>
      </w:r>
      <w:r w:rsidR="00133675">
        <w:t xml:space="preserve"> stays with Shakespeare, but only weakly, and the runner-up is Kyd. </w:t>
      </w:r>
    </w:p>
    <w:p w14:paraId="05E20523" w14:textId="77C874BB" w:rsidR="0075002B" w:rsidRDefault="00640F56" w:rsidP="00B354C0">
      <w:r>
        <w:t>If</w:t>
      </w:r>
      <w:r w:rsidR="00133675">
        <w:t xml:space="preserve"> we do not wish to attribute these early </w:t>
      </w:r>
      <w:r w:rsidR="00D83446">
        <w:t xml:space="preserve">Shakespeare </w:t>
      </w:r>
      <w:r w:rsidR="00133675">
        <w:t xml:space="preserve">plays to Kyd, the results here are </w:t>
      </w:r>
      <w:r>
        <w:t xml:space="preserve">nevertheless </w:t>
      </w:r>
      <w:r w:rsidR="007179DF">
        <w:t>good</w:t>
      </w:r>
      <w:r w:rsidR="00133675">
        <w:t xml:space="preserve"> evidence of Kyd’s influence on the young Shakespeare, an influence that faded away within a few years of Kyd’s death.</w:t>
      </w:r>
      <w:r w:rsidR="00D83446">
        <w:t xml:space="preserve"> Now, as far as our method is concerned, Shakespeare is defined by </w:t>
      </w:r>
      <w:r w:rsidR="00D83446" w:rsidRPr="00D83446">
        <w:rPr>
          <w:i/>
        </w:rPr>
        <w:t>all</w:t>
      </w:r>
      <w:r w:rsidR="00D83446">
        <w:t xml:space="preserve"> his plays listed; yet, if the middle and late plays do not contain much Kyd influence then the method will not </w:t>
      </w:r>
      <w:r w:rsidR="006F30C2">
        <w:t>detect much Kyd influence in Shakespeare as a whole</w:t>
      </w:r>
      <w:r w:rsidR="00D83446">
        <w:t>. Therefore, when it find</w:t>
      </w:r>
      <w:r w:rsidR="00A70A2D">
        <w:t>s</w:t>
      </w:r>
      <w:r w:rsidR="00D83446">
        <w:t xml:space="preserve"> Kyd phrases in the early Shakespeare plays, it will mistake them for Kyd</w:t>
      </w:r>
      <w:r w:rsidR="0079293E">
        <w:t>’s</w:t>
      </w:r>
      <w:r w:rsidR="007166D7">
        <w:t xml:space="preserve"> writing</w:t>
      </w:r>
      <w:r w:rsidR="00A70A2D">
        <w:t xml:space="preserve">. That seems to be the explanation why these early </w:t>
      </w:r>
      <w:r w:rsidR="00C67DBC">
        <w:t xml:space="preserve">Shakespeare </w:t>
      </w:r>
      <w:r w:rsidR="00A70A2D">
        <w:t>plays get attributed to Kyd. In turn, this reinforces the point that changes in an author’s style over time can cause some of his work not to be recognised as his</w:t>
      </w:r>
      <w:r w:rsidR="007E2B8B">
        <w:t xml:space="preserve"> by purely </w:t>
      </w:r>
      <w:r w:rsidR="00694829">
        <w:t>computational</w:t>
      </w:r>
      <w:r w:rsidR="007E2B8B">
        <w:t xml:space="preserve"> methods</w:t>
      </w:r>
      <w:r w:rsidR="00A70A2D">
        <w:t>.</w:t>
      </w:r>
    </w:p>
    <w:p w14:paraId="5F45870C" w14:textId="4093AE1B" w:rsidR="00A041F3" w:rsidRDefault="00A041F3" w:rsidP="00B354C0">
      <w:r>
        <w:t xml:space="preserve">Hartmut </w:t>
      </w:r>
      <w:proofErr w:type="spellStart"/>
      <w:r>
        <w:t>Ilsemann</w:t>
      </w:r>
      <w:proofErr w:type="spellEnd"/>
      <w:r>
        <w:t xml:space="preserve"> has published two articles</w:t>
      </w:r>
      <w:r>
        <w:rPr>
          <w:rStyle w:val="FootnoteReference"/>
        </w:rPr>
        <w:footnoteReference w:id="1"/>
      </w:r>
      <w:r>
        <w:t xml:space="preserve"> this year in </w:t>
      </w:r>
      <w:r w:rsidR="00694829">
        <w:t xml:space="preserve">which he has </w:t>
      </w:r>
      <w:r w:rsidR="005D4682">
        <w:t xml:space="preserve">used Delta to </w:t>
      </w:r>
      <w:r w:rsidR="00694829">
        <w:t>reliev</w:t>
      </w:r>
      <w:r w:rsidR="005D4682">
        <w:t>e</w:t>
      </w:r>
      <w:r w:rsidR="00694829">
        <w:t xml:space="preserve"> Marlowe of all his plays except </w:t>
      </w:r>
      <w:r w:rsidR="00694829" w:rsidRPr="00694829">
        <w:rPr>
          <w:i/>
        </w:rPr>
        <w:t>Tamburlaine</w:t>
      </w:r>
      <w:r w:rsidR="00694829">
        <w:t xml:space="preserve"> but assigned him </w:t>
      </w:r>
      <w:proofErr w:type="spellStart"/>
      <w:r w:rsidR="00694829" w:rsidRPr="00694829">
        <w:rPr>
          <w:i/>
        </w:rPr>
        <w:t>Locrine</w:t>
      </w:r>
      <w:proofErr w:type="spellEnd"/>
      <w:r w:rsidR="00694829">
        <w:t xml:space="preserve"> and </w:t>
      </w:r>
      <w:r w:rsidR="00694829" w:rsidRPr="00694829">
        <w:rPr>
          <w:i/>
        </w:rPr>
        <w:t>Cornelia</w:t>
      </w:r>
      <w:r w:rsidR="00694829">
        <w:t xml:space="preserve"> in return. Perhaps this also testifies to the difficulty that computational methods have in distinguishing Marlowe from Kyd.</w:t>
      </w:r>
    </w:p>
    <w:p w14:paraId="615B6246" w14:textId="02B27DE6" w:rsidR="00133675" w:rsidRDefault="000A1989" w:rsidP="00B354C0">
      <w:r>
        <w:t xml:space="preserve">These results </w:t>
      </w:r>
      <w:r w:rsidR="00A50D92">
        <w:t xml:space="preserve">provide </w:t>
      </w:r>
      <w:r>
        <w:t xml:space="preserve">support </w:t>
      </w:r>
      <w:r w:rsidR="00A50D92">
        <w:t xml:space="preserve">for </w:t>
      </w:r>
      <w:r>
        <w:t xml:space="preserve">at least half of the extended Kyd canon. They also </w:t>
      </w:r>
      <w:r w:rsidR="00A50D92">
        <w:t xml:space="preserve">provide </w:t>
      </w:r>
      <w:r>
        <w:t xml:space="preserve">support </w:t>
      </w:r>
      <w:r w:rsidR="00A50D92">
        <w:t xml:space="preserve">for </w:t>
      </w:r>
      <w:r>
        <w:t xml:space="preserve">the New Oxford Shakespeare claim that Marlowe co-authored </w:t>
      </w:r>
      <w:r w:rsidRPr="001C4A81">
        <w:rPr>
          <w:i/>
        </w:rPr>
        <w:t>1 Henry VI</w:t>
      </w:r>
      <w:r>
        <w:t xml:space="preserve">, as well as Thomas Merriam’s claim that </w:t>
      </w:r>
      <w:r w:rsidRPr="001C4A81">
        <w:rPr>
          <w:i/>
        </w:rPr>
        <w:t>King John</w:t>
      </w:r>
      <w:r>
        <w:t xml:space="preserve"> and </w:t>
      </w:r>
      <w:r w:rsidRPr="001C4A81">
        <w:rPr>
          <w:i/>
        </w:rPr>
        <w:t>Henry V</w:t>
      </w:r>
      <w:r>
        <w:t xml:space="preserve"> were co-authored, albeit that the method identifies Kyd rather than Marlowe as the co-author. </w:t>
      </w:r>
    </w:p>
    <w:p w14:paraId="0FE08EBE" w14:textId="77777777" w:rsidR="001B081F" w:rsidRDefault="001B081F" w:rsidP="001B081F">
      <w:pPr>
        <w:pStyle w:val="Heading1"/>
      </w:pPr>
      <w:r>
        <w:t xml:space="preserve">Scenes 4-9 of </w:t>
      </w:r>
      <w:r w:rsidRPr="00563078">
        <w:rPr>
          <w:i/>
        </w:rPr>
        <w:t>Arden of Faversham</w:t>
      </w:r>
    </w:p>
    <w:p w14:paraId="49F73D19" w14:textId="77777777" w:rsidR="00456894" w:rsidRDefault="00520E27" w:rsidP="00B354C0">
      <w:r>
        <w:t>I reverted to the 86 plays</w:t>
      </w:r>
      <w:r w:rsidR="009B6A8A">
        <w:t xml:space="preserve"> – that is, I removed the extended Kyd canon –</w:t>
      </w:r>
      <w:r>
        <w:t xml:space="preserve"> and </w:t>
      </w:r>
      <w:r w:rsidR="005B65D8">
        <w:t>just</w:t>
      </w:r>
      <w:r>
        <w:t xml:space="preserve"> added </w:t>
      </w:r>
      <w:r w:rsidR="009D10F8">
        <w:t xml:space="preserve">one division consisting of </w:t>
      </w:r>
      <w:r>
        <w:t xml:space="preserve">scenes 4-9 (or 3.1 to 3.6) of </w:t>
      </w:r>
      <w:r w:rsidRPr="00520E27">
        <w:rPr>
          <w:i/>
        </w:rPr>
        <w:t>Arden of Faversham</w:t>
      </w:r>
      <w:r>
        <w:t xml:space="preserve">, assigning </w:t>
      </w:r>
      <w:r w:rsidR="00FB58D0">
        <w:t>it</w:t>
      </w:r>
      <w:r>
        <w:t xml:space="preserve"> to Shakespeare. </w:t>
      </w:r>
    </w:p>
    <w:p w14:paraId="70E17276" w14:textId="2FA82A83" w:rsidR="008B3407" w:rsidRDefault="00790BEF" w:rsidP="00B354C0">
      <w:r>
        <w:object w:dxaOrig="1500" w:dyaOrig="982" w14:anchorId="7B660928">
          <v:shape id="_x0000_i1027" type="#_x0000_t75" style="width:75pt;height:49.1pt" o:ole="">
            <v:imagedata r:id="rId12" o:title=""/>
          </v:shape>
          <o:OLEObject Type="Embed" ProgID="Excel.Sheet.12" ShapeID="_x0000_i1027" DrawAspect="Icon" ObjectID="_1603126878" r:id="rId13"/>
        </w:object>
      </w:r>
      <w:r>
        <w:object w:dxaOrig="1500" w:dyaOrig="982" w14:anchorId="147A374C">
          <v:shape id="_x0000_i1028" type="#_x0000_t75" style="width:75pt;height:49.1pt" o:ole="">
            <v:imagedata r:id="rId14" o:title=""/>
          </v:shape>
          <o:OLEObject Type="Embed" ProgID="Excel.Sheet.12" ShapeID="_x0000_i1028" DrawAspect="Icon" ObjectID="_1603126879" r:id="rId15"/>
        </w:object>
      </w:r>
    </w:p>
    <w:p w14:paraId="2575FA48" w14:textId="293FED9E" w:rsidR="001B081F" w:rsidRDefault="00520E27" w:rsidP="00B354C0">
      <w:r>
        <w:t>The method reject</w:t>
      </w:r>
      <w:r w:rsidR="00C7172A">
        <w:t>s</w:t>
      </w:r>
      <w:r>
        <w:t xml:space="preserve"> the attribution, </w:t>
      </w:r>
      <w:r w:rsidR="00FB465E">
        <w:t>assigning the scenes to Marlowe (it did not have the option of assigning them to Kyd</w:t>
      </w:r>
      <w:r w:rsidR="002806E0">
        <w:t xml:space="preserve"> as </w:t>
      </w:r>
      <w:r w:rsidR="004D4110">
        <w:t>he</w:t>
      </w:r>
      <w:r w:rsidR="002806E0">
        <w:t xml:space="preserve"> was not one of the authors available to it</w:t>
      </w:r>
      <w:r w:rsidR="00FB465E">
        <w:t xml:space="preserve">). </w:t>
      </w:r>
    </w:p>
    <w:p w14:paraId="5D794ADB" w14:textId="7643D0FC" w:rsidR="0013056F" w:rsidRDefault="0013056F" w:rsidP="00B354C0">
      <w:r>
        <w:t xml:space="preserve">A similar test, this time replacing the </w:t>
      </w:r>
      <w:r w:rsidRPr="00625C32">
        <w:rPr>
          <w:i/>
        </w:rPr>
        <w:t>Arden</w:t>
      </w:r>
      <w:r>
        <w:t xml:space="preserve"> scenes </w:t>
      </w:r>
      <w:r w:rsidR="00625C32">
        <w:t xml:space="preserve">4-9 </w:t>
      </w:r>
      <w:r>
        <w:t xml:space="preserve">with the Countess scenes from </w:t>
      </w:r>
      <w:r w:rsidRPr="0013056F">
        <w:rPr>
          <w:i/>
        </w:rPr>
        <w:t>Edward III</w:t>
      </w:r>
      <w:r>
        <w:t xml:space="preserve">, also led to the same outcome, i.e. the Shakespeare attribution </w:t>
      </w:r>
      <w:r w:rsidR="00C40175">
        <w:t>was</w:t>
      </w:r>
      <w:r>
        <w:t xml:space="preserve"> rejected.</w:t>
      </w:r>
    </w:p>
    <w:p w14:paraId="6D349E64" w14:textId="0365F5F5" w:rsidR="00790BEF" w:rsidRDefault="0013056F" w:rsidP="00B354C0">
      <w:r>
        <w:t xml:space="preserve">Having considered why this happened, </w:t>
      </w:r>
      <w:r w:rsidR="00790BEF">
        <w:t>I am conscious that</w:t>
      </w:r>
      <w:r>
        <w:t xml:space="preserve"> th</w:t>
      </w:r>
      <w:r w:rsidR="00285063">
        <w:t>e</w:t>
      </w:r>
      <w:r>
        <w:t xml:space="preserve"> method </w:t>
      </w:r>
      <w:r w:rsidR="00790BEF">
        <w:t>has</w:t>
      </w:r>
      <w:r>
        <w:t xml:space="preserve"> not </w:t>
      </w:r>
      <w:r w:rsidR="00790BEF">
        <w:t xml:space="preserve">been shown to be </w:t>
      </w:r>
      <w:r>
        <w:t xml:space="preserve">reliable for small portions of plays, such as a handful of scenes. </w:t>
      </w:r>
      <w:r w:rsidR="00790BEF">
        <w:t xml:space="preserve">All tests until now have been on whole plays, and it would be hasty to assume that the method works </w:t>
      </w:r>
      <w:r w:rsidR="0028122C">
        <w:t>with</w:t>
      </w:r>
      <w:r w:rsidR="00790BEF">
        <w:t xml:space="preserve"> the same accuracy for parts of plays.</w:t>
      </w:r>
    </w:p>
    <w:p w14:paraId="4B418F6B" w14:textId="67EE95DE" w:rsidR="00790BEF" w:rsidRDefault="00790BEF" w:rsidP="00B354C0">
      <w:r>
        <w:t xml:space="preserve">I need to study this further, to see why the method gives the results it gives for these scenes, perhaps also experimenting with co-authored plays such as </w:t>
      </w:r>
      <w:r w:rsidRPr="00790BEF">
        <w:rPr>
          <w:i/>
        </w:rPr>
        <w:t>Henry VIII</w:t>
      </w:r>
      <w:r>
        <w:t xml:space="preserve"> and </w:t>
      </w:r>
      <w:r w:rsidRPr="00790BEF">
        <w:rPr>
          <w:i/>
        </w:rPr>
        <w:t xml:space="preserve">The Two Noble </w:t>
      </w:r>
      <w:r w:rsidRPr="00790BEF">
        <w:rPr>
          <w:i/>
        </w:rPr>
        <w:lastRenderedPageBreak/>
        <w:t>Kinsmen</w:t>
      </w:r>
      <w:r>
        <w:t xml:space="preserve">. Until then, it would be premature to say that this method has rejected the attribution of scenes 4-9 of </w:t>
      </w:r>
      <w:r w:rsidRPr="00790BEF">
        <w:rPr>
          <w:i/>
        </w:rPr>
        <w:t>Arden</w:t>
      </w:r>
      <w:r>
        <w:t xml:space="preserve"> to Shakespeare.</w:t>
      </w:r>
    </w:p>
    <w:p w14:paraId="46F85EE2" w14:textId="2B30B290" w:rsidR="00700102" w:rsidRDefault="00700102" w:rsidP="00700102">
      <w:pPr>
        <w:pStyle w:val="Heading1"/>
      </w:pPr>
      <w:r>
        <w:t>The Weighting Formula Revisited</w:t>
      </w:r>
    </w:p>
    <w:p w14:paraId="50DFE9A6" w14:textId="57025BA8" w:rsidR="0013056F" w:rsidRDefault="00B40168" w:rsidP="00B354C0">
      <w:r>
        <w:t>I will need to look again at the</w:t>
      </w:r>
      <w:r w:rsidR="008D2E33">
        <w:t xml:space="preserve"> weighting formula. Recall that </w:t>
      </w:r>
      <w:r w:rsidR="00FF3A2C">
        <w:t>our weighting formula is:</w:t>
      </w:r>
    </w:p>
    <w:p w14:paraId="3D80CE69" w14:textId="1007DA11" w:rsidR="00FF3A2C" w:rsidRDefault="00FF3A2C" w:rsidP="00B354C0">
      <m:oMathPara>
        <m:oMath>
          <m:r>
            <w:rPr>
              <w:rFonts w:ascii="Cambria Math" w:hAnsi="Cambria Math"/>
            </w:rPr>
            <m:t>W=</m:t>
          </m:r>
          <m:f>
            <m:fPr>
              <m:ctrlPr>
                <w:rPr>
                  <w:rFonts w:ascii="Cambria Math" w:hAnsi="Cambria Math"/>
                  <w:i/>
                </w:rPr>
              </m:ctrlPr>
            </m:fPr>
            <m:num>
              <m:r>
                <w:rPr>
                  <w:rFonts w:ascii="Cambria Math" w:hAnsi="Cambria Math"/>
                </w:rPr>
                <m:t>T</m:t>
              </m:r>
            </m:num>
            <m:den>
              <m:r>
                <w:rPr>
                  <w:rFonts w:ascii="Cambria Math" w:hAnsi="Cambria Math"/>
                </w:rPr>
                <m:t>S</m:t>
              </m:r>
            </m:den>
          </m:f>
        </m:oMath>
      </m:oMathPara>
    </w:p>
    <w:p w14:paraId="1CDEBCF4" w14:textId="21149B3F" w:rsidR="00FF3A2C" w:rsidRDefault="00FF3A2C" w:rsidP="00FF3A2C">
      <w:r>
        <w:t xml:space="preserve">Where </w:t>
      </w:r>
      <w:r w:rsidRPr="00223D7F">
        <w:rPr>
          <w:i/>
        </w:rPr>
        <w:t>T</w:t>
      </w:r>
      <w:r>
        <w:t xml:space="preserve"> is the total number of matches </w:t>
      </w:r>
      <w:r w:rsidR="00D4465E">
        <w:t xml:space="preserve">with author </w:t>
      </w:r>
      <w:r w:rsidR="00D4465E" w:rsidRPr="00223D7F">
        <w:rPr>
          <w:i/>
        </w:rPr>
        <w:t>A</w:t>
      </w:r>
      <w:r w:rsidR="00D4465E">
        <w:t xml:space="preserve"> </w:t>
      </w:r>
      <w:r>
        <w:t xml:space="preserve">for our play </w:t>
      </w:r>
      <w:r w:rsidRPr="00223D7F">
        <w:rPr>
          <w:i/>
        </w:rPr>
        <w:t>P</w:t>
      </w:r>
      <w:r>
        <w:t xml:space="preserve">, and </w:t>
      </w:r>
      <w:r w:rsidRPr="00223D7F">
        <w:rPr>
          <w:i/>
        </w:rPr>
        <w:t>S</w:t>
      </w:r>
      <w:r>
        <w:t xml:space="preserve"> is defined as:</w:t>
      </w:r>
    </w:p>
    <w:p w14:paraId="1870F0C6" w14:textId="4642A5B1" w:rsidR="00FF3A2C" w:rsidRPr="00FF3A2C" w:rsidRDefault="00FF3A2C" w:rsidP="00FF3A2C">
      <w:pPr>
        <w:rPr>
          <w:rFonts w:eastAsiaTheme="minorEastAsia"/>
          <w:sz w:val="20"/>
          <w:szCs w:val="20"/>
        </w:rPr>
      </w:pPr>
      <m:oMathPara>
        <m:oMath>
          <m:r>
            <w:rPr>
              <w:rFonts w:ascii="Cambria Math" w:hAnsi="Cambria Math"/>
              <w:sz w:val="20"/>
              <w:szCs w:val="20"/>
            </w:rPr>
            <m:t>S = number of tokens in P+number of tokens in the plays of author A (excluding P)</m:t>
          </m:r>
        </m:oMath>
      </m:oMathPara>
    </w:p>
    <w:p w14:paraId="05DB63CD" w14:textId="796CC2F0" w:rsidR="00FF3A2C" w:rsidRDefault="00D4465E" w:rsidP="00FF3A2C">
      <w:r>
        <w:t xml:space="preserve">This formula was adapted from the one I used for the data I published in October 2017 and June 2018, for maximal and formal N-grams respectively. </w:t>
      </w:r>
      <w:r w:rsidR="00F31BD4">
        <w:t xml:space="preserve">That earlier formula divided the number of matches </w:t>
      </w:r>
      <w:r w:rsidR="005C2274">
        <w:t>(</w:t>
      </w:r>
      <w:r w:rsidR="005C2274" w:rsidRPr="009729DA">
        <w:rPr>
          <w:i/>
        </w:rPr>
        <w:t>T</w:t>
      </w:r>
      <w:r w:rsidR="005C2274">
        <w:t xml:space="preserve">) </w:t>
      </w:r>
      <w:r w:rsidR="00F31BD4">
        <w:t xml:space="preserve">between two plays by the sum of the number of words in those two plays. I got the idea from Martin Mueller’s </w:t>
      </w:r>
      <w:r w:rsidR="00D15438">
        <w:t xml:space="preserve">old </w:t>
      </w:r>
      <w:r w:rsidR="00F31BD4">
        <w:t xml:space="preserve">blog post </w:t>
      </w:r>
      <w:r w:rsidR="009A1E5F">
        <w:t>‘</w:t>
      </w:r>
      <w:r w:rsidR="00F31BD4">
        <w:t>Authors are Trumps</w:t>
      </w:r>
      <w:r w:rsidR="009A1E5F">
        <w:t>’</w:t>
      </w:r>
      <w:r w:rsidR="00F31BD4">
        <w:t>, as I acknowledged at the time.</w:t>
      </w:r>
    </w:p>
    <w:p w14:paraId="55EB92A8" w14:textId="77777777" w:rsidR="005D0776" w:rsidRDefault="00F31BD4" w:rsidP="00FF3A2C">
      <w:r>
        <w:t xml:space="preserve">MacDonald P. Jackson observed </w:t>
      </w:r>
      <w:r w:rsidR="0033132D">
        <w:t xml:space="preserve">some months ago </w:t>
      </w:r>
      <w:r>
        <w:t xml:space="preserve">that my weighting formula </w:t>
      </w:r>
      <w:r w:rsidR="005A24F2">
        <w:t>is</w:t>
      </w:r>
      <w:r w:rsidR="00A754F4">
        <w:t xml:space="preserve"> unsatisfactory if one play happens to be much longer than </w:t>
      </w:r>
      <w:r w:rsidR="00AA566C">
        <w:t>the other</w:t>
      </w:r>
      <w:r w:rsidR="00A754F4">
        <w:t xml:space="preserve">. The problem is much more acute when, as here, we are adding not the number of words in two plays, but the number of words in a play and the number of words in an author’s </w:t>
      </w:r>
      <w:r w:rsidR="002168D9">
        <w:t xml:space="preserve">entire </w:t>
      </w:r>
      <w:r w:rsidR="00A754F4">
        <w:t>canon. Usually, the latter number will overwhelm the former. The result is not much different than we would get just by dividing by the number of words in the author’s canon alone.</w:t>
      </w:r>
      <w:r w:rsidR="00545C36">
        <w:t xml:space="preserve"> </w:t>
      </w:r>
    </w:p>
    <w:p w14:paraId="5D162035" w14:textId="7C2AA9C4" w:rsidR="001B1261" w:rsidRDefault="00545C36" w:rsidP="00FF3A2C">
      <w:r>
        <w:t xml:space="preserve">It </w:t>
      </w:r>
      <w:r w:rsidR="00FC7C1B">
        <w:t xml:space="preserve"> may be </w:t>
      </w:r>
      <w:r>
        <w:t xml:space="preserve">better </w:t>
      </w:r>
      <w:r w:rsidR="00FC7C1B">
        <w:t xml:space="preserve">to divide by the </w:t>
      </w:r>
      <w:r w:rsidR="00FC7C1B" w:rsidRPr="00FC7C1B">
        <w:rPr>
          <w:i/>
        </w:rPr>
        <w:t>product</w:t>
      </w:r>
      <w:r w:rsidR="00FC7C1B">
        <w:t xml:space="preserve"> of the number of words in the play and the number of words in the author’s canon, rather than to divide by their </w:t>
      </w:r>
      <w:r w:rsidR="00FC7C1B" w:rsidRPr="00FC7C1B">
        <w:rPr>
          <w:i/>
        </w:rPr>
        <w:t>sum</w:t>
      </w:r>
      <w:r w:rsidR="00FC7C1B">
        <w:t xml:space="preserve">. </w:t>
      </w:r>
      <w:r w:rsidR="001B1261">
        <w:t>That way, each play or division would exercise an influence on the weight exactly in proportion to its size, without its influence being overwhelmed by the size of the author’s canon.</w:t>
      </w:r>
      <w:r w:rsidR="00410E68">
        <w:t xml:space="preserve"> Whether or not this </w:t>
      </w:r>
      <w:r w:rsidR="009F2541">
        <w:t xml:space="preserve">improves </w:t>
      </w:r>
      <w:r w:rsidR="00D637EA">
        <w:t xml:space="preserve">the </w:t>
      </w:r>
      <w:r w:rsidR="009F2541">
        <w:t>results</w:t>
      </w:r>
      <w:r w:rsidR="00410E68">
        <w:t xml:space="preserve"> needs to be established by some experiments.</w:t>
      </w:r>
    </w:p>
    <w:p w14:paraId="766548F7" w14:textId="6F9865A6" w:rsidR="00291782" w:rsidRDefault="00291782" w:rsidP="00291782">
      <w:pPr>
        <w:pStyle w:val="Heading1"/>
      </w:pPr>
      <w:r>
        <w:t xml:space="preserve">A Few </w:t>
      </w:r>
      <w:r w:rsidR="004E72B0">
        <w:t xml:space="preserve">More </w:t>
      </w:r>
      <w:r>
        <w:t>Caveats</w:t>
      </w:r>
    </w:p>
    <w:p w14:paraId="26AD10A9" w14:textId="77777777" w:rsidR="00291782" w:rsidRDefault="00291782" w:rsidP="00291782">
      <w:r>
        <w:t xml:space="preserve">We must remember that any spreadsheet with the red/green/amber cells is a simplification of its corresponding raw data spreadsheet. That raw data spreadsheet is itself a simplification of the full set of data I published in June 2018, since it replaces several numbers of N-gram matches with an author’s plays by just one number for that author. Inevitably, some knowledge may be lost by the simplification. Neither a green nor a red cell excludes the possibility of co-authorship. If the winning or losing margin is small, it may be a clue that the play is co-authored, and the raw data may enable us to spot the likely co-author as the runner-up. We need to remember this when dealing with plays such as </w:t>
      </w:r>
      <w:r w:rsidRPr="005F26E1">
        <w:rPr>
          <w:i/>
        </w:rPr>
        <w:t>Arden of Faversham</w:t>
      </w:r>
      <w:r>
        <w:t xml:space="preserve">, </w:t>
      </w:r>
      <w:r w:rsidRPr="005F26E1">
        <w:rPr>
          <w:i/>
        </w:rPr>
        <w:t>Edward III</w:t>
      </w:r>
      <w:r>
        <w:t xml:space="preserve"> or the </w:t>
      </w:r>
      <w:r w:rsidRPr="005F26E1">
        <w:rPr>
          <w:i/>
        </w:rPr>
        <w:t>Henry VI</w:t>
      </w:r>
      <w:r>
        <w:t xml:space="preserve"> trilogy. The method will always give just one signal – red, green or amber – but the underlying raw data may also hold important clues not conveyed by the signal.</w:t>
      </w:r>
    </w:p>
    <w:p w14:paraId="78A1E89A" w14:textId="3370CE32" w:rsidR="00291782" w:rsidRDefault="00291782" w:rsidP="00FF3A2C">
      <w:r>
        <w:t xml:space="preserve">It is perfectly possible for a play to be assigned to one author, with a satisfactory winning margin, but the possibility may remain that there is some division of the play into two portions, assigned to different authors, with each attribution receiving an even more satisfactory winning margin. A successful result for one attribution does not automatically rule out every attribution that is incompatible with it. Life is not that kind. That is not a problem unique to this method; on the contrary, it is common to all methods, which is why scholars should be wary of claiming certainty for any attributions they make using any method. We know that it is possible for </w:t>
      </w:r>
      <w:r>
        <w:lastRenderedPageBreak/>
        <w:t>different methods to confirm the same attribution; in principle, it is also possible for the same method to confirm different and incompatible attributions, if we try enough tests.</w:t>
      </w:r>
    </w:p>
    <w:p w14:paraId="5E55C615" w14:textId="1E2C1999" w:rsidR="001C4A81" w:rsidRDefault="003F14DE" w:rsidP="003F14DE">
      <w:pPr>
        <w:jc w:val="right"/>
      </w:pPr>
      <w:r>
        <w:t>Pervez Rizvi</w:t>
      </w:r>
    </w:p>
    <w:p w14:paraId="77965521" w14:textId="13E4FF1E" w:rsidR="001B205D" w:rsidRDefault="003F14DE" w:rsidP="00DD1C37">
      <w:pPr>
        <w:jc w:val="right"/>
      </w:pPr>
      <w:r>
        <w:t>October 2018</w:t>
      </w:r>
    </w:p>
    <w:p w14:paraId="531BE51C" w14:textId="5E97AAF6" w:rsidR="002D43C7" w:rsidRDefault="002D43C7" w:rsidP="002D43C7">
      <w:pPr>
        <w:pStyle w:val="Heading1"/>
      </w:pPr>
      <w:r>
        <w:t>Postscript</w:t>
      </w:r>
    </w:p>
    <w:p w14:paraId="7B868BA3" w14:textId="42FD82EE" w:rsidR="002D43C7" w:rsidRDefault="00D87EB3" w:rsidP="002D43C7">
      <w:r>
        <w:t>I investigated the failure of the method to attribute the Countess scenes to Shakespeare. The reason is simply the paucity of data</w:t>
      </w:r>
      <w:r w:rsidR="00BB0A10">
        <w:t xml:space="preserve">. </w:t>
      </w:r>
    </w:p>
    <w:p w14:paraId="2DBCF952" w14:textId="33DBF1B5" w:rsidR="00E32FB3" w:rsidRDefault="00E32FB3" w:rsidP="002D43C7">
      <w:r>
        <w:t xml:space="preserve">For the Countess scenes, the number of unique formal 3-grams matches with Marlowe is 9, whereas </w:t>
      </w:r>
      <w:r w:rsidR="00CA0ECA">
        <w:t xml:space="preserve">with Shakespeare </w:t>
      </w:r>
      <w:r>
        <w:t>it is 50. The Shakespeare canon is much larger, so when we apply the weighting formula, Marlowe wins the attribution rather than</w:t>
      </w:r>
      <w:r w:rsidR="00051AEF">
        <w:t xml:space="preserve"> Shakespeare</w:t>
      </w:r>
      <w:r>
        <w:t>. However, th</w:t>
      </w:r>
      <w:r w:rsidR="003972E6">
        <w:t>e result is</w:t>
      </w:r>
      <w:r>
        <w:t xml:space="preserve"> volatile</w:t>
      </w:r>
      <w:r w:rsidR="003972E6">
        <w:t>:</w:t>
      </w:r>
      <w:r>
        <w:t xml:space="preserve"> if the Marlowe count had been 8 rather than 9, then Shakespeare would have won by a </w:t>
      </w:r>
      <w:r w:rsidR="00EC1A17">
        <w:t>small</w:t>
      </w:r>
      <w:r>
        <w:t xml:space="preserve"> margin.</w:t>
      </w:r>
    </w:p>
    <w:p w14:paraId="6DAEF23B" w14:textId="7A07CA68" w:rsidR="00F3273B" w:rsidRDefault="000362D7" w:rsidP="002D43C7">
      <w:r>
        <w:t xml:space="preserve">It </w:t>
      </w:r>
      <w:r w:rsidR="00B04D7F">
        <w:t>would be</w:t>
      </w:r>
      <w:r>
        <w:t xml:space="preserve"> easy enough to find a weighting formula </w:t>
      </w:r>
      <w:r w:rsidR="001E0DB4">
        <w:t>that</w:t>
      </w:r>
      <w:r w:rsidR="001D113C">
        <w:t xml:space="preserve"> enable</w:t>
      </w:r>
      <w:r w:rsidR="00F460D4">
        <w:t>d</w:t>
      </w:r>
      <w:r w:rsidR="001D113C">
        <w:t xml:space="preserve"> </w:t>
      </w:r>
      <w:r>
        <w:t>Shakespeare to</w:t>
      </w:r>
      <w:r w:rsidR="00417840">
        <w:t xml:space="preserve"> win this attribution, but that would </w:t>
      </w:r>
      <w:r w:rsidR="00B04C91">
        <w:t xml:space="preserve">be likely to </w:t>
      </w:r>
      <w:r w:rsidR="00417840">
        <w:t xml:space="preserve">cause problems elsewhere by making other attributions incorrect. The real problem is that the numbers – in this case, just 9 unique matches with the entire Marlowe canon – are too small to use safely. It would be irresponsible to base any attributions on </w:t>
      </w:r>
      <w:r w:rsidR="00FC31A8">
        <w:t xml:space="preserve">such </w:t>
      </w:r>
      <w:r w:rsidR="00417840">
        <w:t>exiguous data.</w:t>
      </w:r>
      <w:r>
        <w:t xml:space="preserve"> </w:t>
      </w:r>
    </w:p>
    <w:p w14:paraId="1FEEE2A7" w14:textId="190F7EC4" w:rsidR="002E52D7" w:rsidRDefault="002E52D7" w:rsidP="002D43C7">
      <w:r>
        <w:t xml:space="preserve">This experiment with the Countess scenes provides a further insight into the results we saw earlier. In the first article, “Which N-grams are the Best?”, we found that 4-grams and 5-grams did well using all </w:t>
      </w:r>
      <w:r w:rsidR="00A219D7">
        <w:t>matches</w:t>
      </w:r>
      <w:r>
        <w:t xml:space="preserve">, whereas 3-grams and 4-grams did well </w:t>
      </w:r>
      <w:r w:rsidR="00BF2220">
        <w:t xml:space="preserve">when </w:t>
      </w:r>
      <w:r>
        <w:t xml:space="preserve">using unique </w:t>
      </w:r>
      <w:r w:rsidR="00A219D7">
        <w:t>matches</w:t>
      </w:r>
      <w:r>
        <w:t xml:space="preserve">. </w:t>
      </w:r>
      <w:r w:rsidR="00BF2220">
        <w:t xml:space="preserve">The reason </w:t>
      </w:r>
      <w:r w:rsidR="00280CCC">
        <w:t xml:space="preserve">for the poor performance of all 3-grams was that the very common phrases that everyone used </w:t>
      </w:r>
      <w:r w:rsidR="008F73F4">
        <w:t>were a</w:t>
      </w:r>
      <w:r w:rsidR="00280CCC">
        <w:t xml:space="preserve"> domina</w:t>
      </w:r>
      <w:r w:rsidR="008F73F4">
        <w:t>ting</w:t>
      </w:r>
      <w:r w:rsidR="00280CCC">
        <w:t xml:space="preserve"> influence, compromising the method’s ability to distinguish between the authors accurately. Because 5-grams are less common, even when they are not unique, the 5-grams test was able to do well. When </w:t>
      </w:r>
      <w:r w:rsidR="0020059F">
        <w:t>I</w:t>
      </w:r>
      <w:r w:rsidR="00280CCC">
        <w:t xml:space="preserve"> </w:t>
      </w:r>
      <w:r w:rsidR="00EF602D">
        <w:t>switched to</w:t>
      </w:r>
      <w:r w:rsidR="00280CCC">
        <w:t xml:space="preserve"> </w:t>
      </w:r>
      <w:r w:rsidR="00540B1A">
        <w:t xml:space="preserve">using </w:t>
      </w:r>
      <w:bookmarkStart w:id="0" w:name="_GoBack"/>
      <w:bookmarkEnd w:id="0"/>
      <w:r w:rsidR="00280CCC">
        <w:t>unique N-grams, the common phrases that everyone used were excluded, allowing 3-grams to do well. However, the paucity of unique 5-grams caused th</w:t>
      </w:r>
      <w:r w:rsidR="009A64BD">
        <w:t>e test using them</w:t>
      </w:r>
      <w:r w:rsidR="00280CCC">
        <w:t xml:space="preserve"> to do badly. 4-grams, being a compromise between the extremes of too few results and too many results consisting of common phrases, did well in both test</w:t>
      </w:r>
      <w:r w:rsidR="00944797">
        <w:t>s</w:t>
      </w:r>
      <w:r w:rsidR="00280CCC">
        <w:t>.</w:t>
      </w:r>
    </w:p>
    <w:p w14:paraId="244F3188" w14:textId="23603528" w:rsidR="00E32FB3" w:rsidRDefault="003146B6" w:rsidP="002D43C7">
      <w:r>
        <w:t>This method, if it is useful at all, is useful only for whole plays or substantial portions of plays</w:t>
      </w:r>
      <w:r w:rsidR="0086760F">
        <w:t>, since it is onl</w:t>
      </w:r>
      <w:r w:rsidR="00CF3840">
        <w:t>y for them that we get results in the happy middle between the two extremes</w:t>
      </w:r>
      <w:r>
        <w:t>.</w:t>
      </w:r>
      <w:r w:rsidR="000E1003">
        <w:t xml:space="preserve"> Scenes 4-8 of </w:t>
      </w:r>
      <w:r w:rsidR="000E1003" w:rsidRPr="000E1003">
        <w:rPr>
          <w:i/>
        </w:rPr>
        <w:t>Arden of Faversham</w:t>
      </w:r>
      <w:r w:rsidR="000E1003">
        <w:t xml:space="preserve"> are </w:t>
      </w:r>
      <w:r w:rsidR="00B33F9B">
        <w:t>almost exactly</w:t>
      </w:r>
      <w:r w:rsidR="000E1003">
        <w:t xml:space="preserve"> half the size of the Countess scenes in </w:t>
      </w:r>
      <w:r w:rsidR="000E1003" w:rsidRPr="000E1003">
        <w:rPr>
          <w:i/>
        </w:rPr>
        <w:t>Edward III</w:t>
      </w:r>
      <w:r w:rsidR="000E1003">
        <w:t>. They are therefore even less suitable than the Countess scenes for this method.</w:t>
      </w:r>
      <w:r w:rsidR="00B33F9B">
        <w:t xml:space="preserve"> </w:t>
      </w:r>
    </w:p>
    <w:p w14:paraId="1D719F38" w14:textId="24B4D2EF" w:rsidR="002D43C7" w:rsidRDefault="002D43C7" w:rsidP="002D43C7">
      <w:pPr>
        <w:jc w:val="right"/>
      </w:pPr>
      <w:r>
        <w:t>Pervez Rizvi</w:t>
      </w:r>
    </w:p>
    <w:p w14:paraId="480CD98A" w14:textId="73A01021" w:rsidR="002D43C7" w:rsidRPr="009606FE" w:rsidRDefault="002D43C7" w:rsidP="002D43C7">
      <w:pPr>
        <w:jc w:val="right"/>
      </w:pPr>
      <w:r>
        <w:t>November 2018</w:t>
      </w:r>
    </w:p>
    <w:sectPr w:rsidR="002D43C7" w:rsidRPr="009606FE" w:rsidSect="008A0280">
      <w:headerReference w:type="default" r:id="rId16"/>
      <w:footerReference w:type="default" r:id="rId1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9E741" w14:textId="77777777" w:rsidR="007D495C" w:rsidRDefault="007D495C" w:rsidP="00960E58">
      <w:pPr>
        <w:spacing w:before="0" w:after="0"/>
      </w:pPr>
      <w:r>
        <w:separator/>
      </w:r>
    </w:p>
  </w:endnote>
  <w:endnote w:type="continuationSeparator" w:id="0">
    <w:p w14:paraId="4D78931D" w14:textId="77777777" w:rsidR="007D495C" w:rsidRDefault="007D495C" w:rsidP="00960E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Verdana"/>
    <w:charset w:val="00"/>
    <w:family w:val="swiss"/>
    <w:pitch w:val="variable"/>
    <w:sig w:usb0="00000001"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736A7" w14:textId="77777777" w:rsidR="004421C0" w:rsidRPr="004421C0" w:rsidRDefault="004421C0" w:rsidP="004421C0">
    <w:pPr>
      <w:pStyle w:val="Footer"/>
      <w:jc w:val="center"/>
      <w:rPr>
        <w:i/>
        <w:sz w:val="18"/>
        <w:szCs w:val="18"/>
      </w:rPr>
    </w:pPr>
    <w:r w:rsidRPr="004421C0">
      <w:rPr>
        <w:i/>
        <w:sz w:val="18"/>
        <w:szCs w:val="18"/>
      </w:rPr>
      <w:t>www.shakespearestext.com/can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A1004" w14:textId="77777777" w:rsidR="007D495C" w:rsidRDefault="007D495C" w:rsidP="00960E58">
      <w:pPr>
        <w:spacing w:before="0" w:after="0"/>
      </w:pPr>
      <w:r>
        <w:separator/>
      </w:r>
    </w:p>
  </w:footnote>
  <w:footnote w:type="continuationSeparator" w:id="0">
    <w:p w14:paraId="6E98227F" w14:textId="77777777" w:rsidR="007D495C" w:rsidRDefault="007D495C" w:rsidP="00960E58">
      <w:pPr>
        <w:spacing w:before="0" w:after="0"/>
      </w:pPr>
      <w:r>
        <w:continuationSeparator/>
      </w:r>
    </w:p>
  </w:footnote>
  <w:footnote w:id="1">
    <w:p w14:paraId="0DFFAD51" w14:textId="63C32AD0" w:rsidR="00A041F3" w:rsidRDefault="00A041F3" w:rsidP="00A041F3">
      <w:pPr>
        <w:pStyle w:val="FootnoteText"/>
        <w:spacing w:after="120"/>
      </w:pPr>
      <w:r>
        <w:rPr>
          <w:rStyle w:val="FootnoteReference"/>
        </w:rPr>
        <w:footnoteRef/>
      </w:r>
      <w:r>
        <w:t xml:space="preserve"> ‘Christopher Marlowe: Hype and Hoax’ and ‘Forensic Stylometry’ in </w:t>
      </w:r>
      <w:r w:rsidRPr="00A50989">
        <w:rPr>
          <w:i/>
        </w:rPr>
        <w:t>Digital Scholarship in the Humanities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1DE78" w14:textId="77777777" w:rsidR="00960E58" w:rsidRDefault="00960E58">
    <w:pPr>
      <w:pStyle w:val="Header"/>
    </w:pPr>
    <w:r>
      <w:rPr>
        <w:noProof/>
      </w:rPr>
      <mc:AlternateContent>
        <mc:Choice Requires="wps">
          <w:drawing>
            <wp:anchor distT="0" distB="0" distL="114300" distR="114300" simplePos="0" relativeHeight="251660288" behindDoc="0" locked="0" layoutInCell="0" allowOverlap="1" wp14:anchorId="36FB5E1C" wp14:editId="64561BD5">
              <wp:simplePos x="0" y="0"/>
              <wp:positionH relativeFrom="margin">
                <wp:align>left</wp:align>
              </wp:positionH>
              <wp:positionV relativeFrom="topMargin">
                <wp:align>center</wp:align>
              </wp:positionV>
              <wp:extent cx="5943600" cy="173736"/>
              <wp:effectExtent l="0" t="0" r="0" b="63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CB2F8" w14:textId="73755558" w:rsidR="00960E58" w:rsidRDefault="001814BA">
                          <w:pPr>
                            <w:spacing w:after="0"/>
                            <w:jc w:val="right"/>
                            <w:rPr>
                              <w:noProof/>
                            </w:rPr>
                          </w:pPr>
                          <w:r w:rsidRPr="001814BA">
                            <w:rPr>
                              <w:i/>
                              <w:noProof/>
                            </w:rPr>
                            <w:t>Arden of Faversham</w:t>
                          </w:r>
                          <w:r>
                            <w:rPr>
                              <w:noProof/>
                            </w:rPr>
                            <w:t xml:space="preserve"> and the Extended Kyd Canon</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FB5E1C" id="_x0000_t202" coordsize="21600,21600" o:spt="202" path="m,l,21600r21600,l21600,xe">
              <v:stroke joinstyle="miter"/>
              <v:path gradientshapeok="t" o:connecttype="rect"/>
            </v:shapetype>
            <v:shape id="Text Box 220" o:spid="_x0000_s1026" type="#_x0000_t202" style="position:absolute;left:0;text-align:left;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" o:allowincell="f" filled="f" stroked="f">
              <v:textbox style="mso-fit-shape-to-text:t" inset=",0,,0">
                <w:txbxContent>
                  <w:p w14:paraId="36BCB2F8" w14:textId="73755558" w:rsidR="00960E58" w:rsidRDefault="001814BA">
                    <w:pPr>
                      <w:spacing w:after="0"/>
                      <w:jc w:val="right"/>
                      <w:rPr>
                        <w:noProof/>
                      </w:rPr>
                    </w:pPr>
                    <w:r w:rsidRPr="001814BA">
                      <w:rPr>
                        <w:i/>
                        <w:noProof/>
                      </w:rPr>
                      <w:t>Arden of Faversham</w:t>
                    </w:r>
                    <w:r>
                      <w:rPr>
                        <w:noProof/>
                      </w:rPr>
                      <w:t xml:space="preserve"> and the Extended Kyd Canon</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5676950B" wp14:editId="1E409898">
              <wp:simplePos x="0" y="0"/>
              <wp:positionH relativeFrom="page">
                <wp:align>right</wp:align>
              </wp:positionH>
              <wp:positionV relativeFrom="topMargin">
                <wp:align>center</wp:align>
              </wp:positionV>
              <wp:extent cx="91186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676950B" id="Text Box 221" o:spid="_x0000_s1027"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" o:allowincell="f" fillcolor="#a8d08d [1945]" stroked="f">
              <v:textbox style="mso-fit-shape-to-text:t" inset=",0,,0">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575D1"/>
    <w:multiLevelType w:val="hybridMultilevel"/>
    <w:tmpl w:val="44BC4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441"/>
    <w:rsid w:val="00001ECD"/>
    <w:rsid w:val="00004A45"/>
    <w:rsid w:val="000057BB"/>
    <w:rsid w:val="00007EEC"/>
    <w:rsid w:val="00011E26"/>
    <w:rsid w:val="00033869"/>
    <w:rsid w:val="000362D7"/>
    <w:rsid w:val="00037A9D"/>
    <w:rsid w:val="00040891"/>
    <w:rsid w:val="00041EC8"/>
    <w:rsid w:val="000436DB"/>
    <w:rsid w:val="00043C44"/>
    <w:rsid w:val="00043CA0"/>
    <w:rsid w:val="000440B1"/>
    <w:rsid w:val="000467A3"/>
    <w:rsid w:val="000513C0"/>
    <w:rsid w:val="00051AEF"/>
    <w:rsid w:val="00053F7F"/>
    <w:rsid w:val="00061CE8"/>
    <w:rsid w:val="00064A5D"/>
    <w:rsid w:val="00065231"/>
    <w:rsid w:val="00066F69"/>
    <w:rsid w:val="00070D54"/>
    <w:rsid w:val="0007215B"/>
    <w:rsid w:val="00072774"/>
    <w:rsid w:val="00076DDC"/>
    <w:rsid w:val="00077147"/>
    <w:rsid w:val="00082077"/>
    <w:rsid w:val="000849C7"/>
    <w:rsid w:val="000852D4"/>
    <w:rsid w:val="00087A2D"/>
    <w:rsid w:val="00087AE0"/>
    <w:rsid w:val="000901CA"/>
    <w:rsid w:val="00092113"/>
    <w:rsid w:val="000952AE"/>
    <w:rsid w:val="00096F27"/>
    <w:rsid w:val="000979AA"/>
    <w:rsid w:val="000A0EAF"/>
    <w:rsid w:val="000A1989"/>
    <w:rsid w:val="000A3CCE"/>
    <w:rsid w:val="000B221A"/>
    <w:rsid w:val="000B22E7"/>
    <w:rsid w:val="000B49D6"/>
    <w:rsid w:val="000C32D6"/>
    <w:rsid w:val="000D002B"/>
    <w:rsid w:val="000D1231"/>
    <w:rsid w:val="000D1986"/>
    <w:rsid w:val="000D50FE"/>
    <w:rsid w:val="000E1003"/>
    <w:rsid w:val="000E2D59"/>
    <w:rsid w:val="000E33C5"/>
    <w:rsid w:val="000E433A"/>
    <w:rsid w:val="000F56F8"/>
    <w:rsid w:val="000F5BE9"/>
    <w:rsid w:val="000F5DFF"/>
    <w:rsid w:val="00100B45"/>
    <w:rsid w:val="001019E5"/>
    <w:rsid w:val="00101A45"/>
    <w:rsid w:val="00104491"/>
    <w:rsid w:val="00105F0C"/>
    <w:rsid w:val="00106629"/>
    <w:rsid w:val="00106AC5"/>
    <w:rsid w:val="0010726E"/>
    <w:rsid w:val="001127F2"/>
    <w:rsid w:val="00117496"/>
    <w:rsid w:val="001217A2"/>
    <w:rsid w:val="0013056F"/>
    <w:rsid w:val="00133675"/>
    <w:rsid w:val="001342DF"/>
    <w:rsid w:val="00142A7D"/>
    <w:rsid w:val="00145550"/>
    <w:rsid w:val="001463AD"/>
    <w:rsid w:val="00150499"/>
    <w:rsid w:val="00152D59"/>
    <w:rsid w:val="00164787"/>
    <w:rsid w:val="00165C00"/>
    <w:rsid w:val="001670C8"/>
    <w:rsid w:val="00170157"/>
    <w:rsid w:val="00172A2C"/>
    <w:rsid w:val="001814BA"/>
    <w:rsid w:val="00192FAC"/>
    <w:rsid w:val="0019686E"/>
    <w:rsid w:val="001A0E6D"/>
    <w:rsid w:val="001A6C7C"/>
    <w:rsid w:val="001B081F"/>
    <w:rsid w:val="001B1261"/>
    <w:rsid w:val="001B205D"/>
    <w:rsid w:val="001B3B51"/>
    <w:rsid w:val="001B513B"/>
    <w:rsid w:val="001B67EA"/>
    <w:rsid w:val="001B6959"/>
    <w:rsid w:val="001B6F78"/>
    <w:rsid w:val="001C1E8C"/>
    <w:rsid w:val="001C4A81"/>
    <w:rsid w:val="001D113C"/>
    <w:rsid w:val="001D5AC5"/>
    <w:rsid w:val="001E0DB4"/>
    <w:rsid w:val="001E4135"/>
    <w:rsid w:val="001E5915"/>
    <w:rsid w:val="001E5D30"/>
    <w:rsid w:val="001F1E6D"/>
    <w:rsid w:val="001F3716"/>
    <w:rsid w:val="001F441A"/>
    <w:rsid w:val="0020059F"/>
    <w:rsid w:val="0020166D"/>
    <w:rsid w:val="0020541B"/>
    <w:rsid w:val="00205E82"/>
    <w:rsid w:val="00214A8E"/>
    <w:rsid w:val="00215251"/>
    <w:rsid w:val="002168D9"/>
    <w:rsid w:val="00217F2C"/>
    <w:rsid w:val="00223041"/>
    <w:rsid w:val="00223D7F"/>
    <w:rsid w:val="002303A5"/>
    <w:rsid w:val="00234FA6"/>
    <w:rsid w:val="00241EFD"/>
    <w:rsid w:val="0026067F"/>
    <w:rsid w:val="00262473"/>
    <w:rsid w:val="00267591"/>
    <w:rsid w:val="00272181"/>
    <w:rsid w:val="0027446D"/>
    <w:rsid w:val="0027598A"/>
    <w:rsid w:val="002806E0"/>
    <w:rsid w:val="00280CCC"/>
    <w:rsid w:val="0028122C"/>
    <w:rsid w:val="00281653"/>
    <w:rsid w:val="00285063"/>
    <w:rsid w:val="00285646"/>
    <w:rsid w:val="0028592E"/>
    <w:rsid w:val="00286043"/>
    <w:rsid w:val="00291782"/>
    <w:rsid w:val="002A0314"/>
    <w:rsid w:val="002A1BA5"/>
    <w:rsid w:val="002B163B"/>
    <w:rsid w:val="002B1A86"/>
    <w:rsid w:val="002B4EF8"/>
    <w:rsid w:val="002C1B31"/>
    <w:rsid w:val="002D017A"/>
    <w:rsid w:val="002D22B6"/>
    <w:rsid w:val="002D3549"/>
    <w:rsid w:val="002D43C7"/>
    <w:rsid w:val="002D78C4"/>
    <w:rsid w:val="002E2852"/>
    <w:rsid w:val="002E52D7"/>
    <w:rsid w:val="002E7981"/>
    <w:rsid w:val="002E7F3D"/>
    <w:rsid w:val="002F1077"/>
    <w:rsid w:val="002F29B2"/>
    <w:rsid w:val="002F4714"/>
    <w:rsid w:val="003048CC"/>
    <w:rsid w:val="00307489"/>
    <w:rsid w:val="0031245A"/>
    <w:rsid w:val="0031352E"/>
    <w:rsid w:val="003146B6"/>
    <w:rsid w:val="00321B17"/>
    <w:rsid w:val="00325214"/>
    <w:rsid w:val="003273E7"/>
    <w:rsid w:val="003300F8"/>
    <w:rsid w:val="0033132D"/>
    <w:rsid w:val="00332814"/>
    <w:rsid w:val="0033414B"/>
    <w:rsid w:val="00335623"/>
    <w:rsid w:val="00337BF5"/>
    <w:rsid w:val="00337D1A"/>
    <w:rsid w:val="00343906"/>
    <w:rsid w:val="00355155"/>
    <w:rsid w:val="00356566"/>
    <w:rsid w:val="003622D9"/>
    <w:rsid w:val="003716D9"/>
    <w:rsid w:val="00372CE6"/>
    <w:rsid w:val="00375287"/>
    <w:rsid w:val="00383404"/>
    <w:rsid w:val="003838BA"/>
    <w:rsid w:val="00387D36"/>
    <w:rsid w:val="00390987"/>
    <w:rsid w:val="00390A7D"/>
    <w:rsid w:val="003966E0"/>
    <w:rsid w:val="003972E6"/>
    <w:rsid w:val="003A5D0F"/>
    <w:rsid w:val="003B0CD8"/>
    <w:rsid w:val="003B361E"/>
    <w:rsid w:val="003B408C"/>
    <w:rsid w:val="003B649F"/>
    <w:rsid w:val="003C2135"/>
    <w:rsid w:val="003C4F7B"/>
    <w:rsid w:val="003C77EF"/>
    <w:rsid w:val="003D65F3"/>
    <w:rsid w:val="003D7183"/>
    <w:rsid w:val="003D7FE6"/>
    <w:rsid w:val="003E3815"/>
    <w:rsid w:val="003E4F2E"/>
    <w:rsid w:val="003E6C9F"/>
    <w:rsid w:val="003F14DE"/>
    <w:rsid w:val="00400039"/>
    <w:rsid w:val="00401141"/>
    <w:rsid w:val="004041DE"/>
    <w:rsid w:val="00406C76"/>
    <w:rsid w:val="00410E06"/>
    <w:rsid w:val="00410E68"/>
    <w:rsid w:val="00411048"/>
    <w:rsid w:val="00411EFA"/>
    <w:rsid w:val="00417840"/>
    <w:rsid w:val="00420E14"/>
    <w:rsid w:val="004210C4"/>
    <w:rsid w:val="0042296F"/>
    <w:rsid w:val="004233E0"/>
    <w:rsid w:val="0042370D"/>
    <w:rsid w:val="00424E70"/>
    <w:rsid w:val="004254A0"/>
    <w:rsid w:val="00426C19"/>
    <w:rsid w:val="004277ED"/>
    <w:rsid w:val="00431FD9"/>
    <w:rsid w:val="00432102"/>
    <w:rsid w:val="00432440"/>
    <w:rsid w:val="00433804"/>
    <w:rsid w:val="004402A2"/>
    <w:rsid w:val="004406DC"/>
    <w:rsid w:val="004421C0"/>
    <w:rsid w:val="004435F9"/>
    <w:rsid w:val="00444884"/>
    <w:rsid w:val="0044521D"/>
    <w:rsid w:val="00447F21"/>
    <w:rsid w:val="004537BC"/>
    <w:rsid w:val="00456894"/>
    <w:rsid w:val="00463867"/>
    <w:rsid w:val="0046655B"/>
    <w:rsid w:val="00481E16"/>
    <w:rsid w:val="00482FC6"/>
    <w:rsid w:val="00485553"/>
    <w:rsid w:val="0049087D"/>
    <w:rsid w:val="00493237"/>
    <w:rsid w:val="00496356"/>
    <w:rsid w:val="00497BFB"/>
    <w:rsid w:val="004A1D36"/>
    <w:rsid w:val="004A2E6B"/>
    <w:rsid w:val="004A4B58"/>
    <w:rsid w:val="004B0AA6"/>
    <w:rsid w:val="004B65D5"/>
    <w:rsid w:val="004B6CC3"/>
    <w:rsid w:val="004B71E1"/>
    <w:rsid w:val="004C77EC"/>
    <w:rsid w:val="004C784A"/>
    <w:rsid w:val="004C7B7E"/>
    <w:rsid w:val="004D0846"/>
    <w:rsid w:val="004D293D"/>
    <w:rsid w:val="004D4110"/>
    <w:rsid w:val="004D491A"/>
    <w:rsid w:val="004D6FD0"/>
    <w:rsid w:val="004D7623"/>
    <w:rsid w:val="004E703A"/>
    <w:rsid w:val="004E7041"/>
    <w:rsid w:val="004E72B0"/>
    <w:rsid w:val="004F6986"/>
    <w:rsid w:val="004F7BBB"/>
    <w:rsid w:val="005010BA"/>
    <w:rsid w:val="00510945"/>
    <w:rsid w:val="00512489"/>
    <w:rsid w:val="0051672F"/>
    <w:rsid w:val="0051734C"/>
    <w:rsid w:val="00520E27"/>
    <w:rsid w:val="00521DD3"/>
    <w:rsid w:val="00523681"/>
    <w:rsid w:val="00526941"/>
    <w:rsid w:val="00526F48"/>
    <w:rsid w:val="0052724A"/>
    <w:rsid w:val="00527450"/>
    <w:rsid w:val="00531152"/>
    <w:rsid w:val="00532756"/>
    <w:rsid w:val="00540430"/>
    <w:rsid w:val="00540B1A"/>
    <w:rsid w:val="005411FB"/>
    <w:rsid w:val="00545C36"/>
    <w:rsid w:val="0055105E"/>
    <w:rsid w:val="0055458F"/>
    <w:rsid w:val="00556691"/>
    <w:rsid w:val="005627A1"/>
    <w:rsid w:val="00563078"/>
    <w:rsid w:val="00563FC9"/>
    <w:rsid w:val="00565D3F"/>
    <w:rsid w:val="0056797C"/>
    <w:rsid w:val="005748F1"/>
    <w:rsid w:val="00577463"/>
    <w:rsid w:val="00582D19"/>
    <w:rsid w:val="005857D3"/>
    <w:rsid w:val="00586CAA"/>
    <w:rsid w:val="00595300"/>
    <w:rsid w:val="005A089C"/>
    <w:rsid w:val="005A24F2"/>
    <w:rsid w:val="005B087F"/>
    <w:rsid w:val="005B20F5"/>
    <w:rsid w:val="005B3705"/>
    <w:rsid w:val="005B65D8"/>
    <w:rsid w:val="005B7C87"/>
    <w:rsid w:val="005C0934"/>
    <w:rsid w:val="005C2274"/>
    <w:rsid w:val="005C43BE"/>
    <w:rsid w:val="005D0586"/>
    <w:rsid w:val="005D0776"/>
    <w:rsid w:val="005D4682"/>
    <w:rsid w:val="005D4B3D"/>
    <w:rsid w:val="005D75CA"/>
    <w:rsid w:val="005E1E2A"/>
    <w:rsid w:val="005E28B3"/>
    <w:rsid w:val="005E336A"/>
    <w:rsid w:val="005E36E4"/>
    <w:rsid w:val="005E4274"/>
    <w:rsid w:val="005F26E1"/>
    <w:rsid w:val="005F4CBB"/>
    <w:rsid w:val="00602D6F"/>
    <w:rsid w:val="00603323"/>
    <w:rsid w:val="00604296"/>
    <w:rsid w:val="00604EE5"/>
    <w:rsid w:val="00610812"/>
    <w:rsid w:val="00616015"/>
    <w:rsid w:val="00622002"/>
    <w:rsid w:val="006250C2"/>
    <w:rsid w:val="00625C32"/>
    <w:rsid w:val="00626748"/>
    <w:rsid w:val="00627A83"/>
    <w:rsid w:val="00632999"/>
    <w:rsid w:val="00637798"/>
    <w:rsid w:val="00640F56"/>
    <w:rsid w:val="006424F7"/>
    <w:rsid w:val="00645115"/>
    <w:rsid w:val="0064573B"/>
    <w:rsid w:val="0064656E"/>
    <w:rsid w:val="006471DA"/>
    <w:rsid w:val="0065015E"/>
    <w:rsid w:val="006530D3"/>
    <w:rsid w:val="00656ABC"/>
    <w:rsid w:val="006611D7"/>
    <w:rsid w:val="00675757"/>
    <w:rsid w:val="00675866"/>
    <w:rsid w:val="006835F8"/>
    <w:rsid w:val="0068422B"/>
    <w:rsid w:val="0068534A"/>
    <w:rsid w:val="00694829"/>
    <w:rsid w:val="006A0118"/>
    <w:rsid w:val="006A1C73"/>
    <w:rsid w:val="006A35B5"/>
    <w:rsid w:val="006A5406"/>
    <w:rsid w:val="006A76F6"/>
    <w:rsid w:val="006B4133"/>
    <w:rsid w:val="006B44EE"/>
    <w:rsid w:val="006B5D7E"/>
    <w:rsid w:val="006C117D"/>
    <w:rsid w:val="006D0144"/>
    <w:rsid w:val="006D2FEE"/>
    <w:rsid w:val="006E21CA"/>
    <w:rsid w:val="006E3E0F"/>
    <w:rsid w:val="006E4466"/>
    <w:rsid w:val="006E736D"/>
    <w:rsid w:val="006F19F2"/>
    <w:rsid w:val="006F30C2"/>
    <w:rsid w:val="006F4A5C"/>
    <w:rsid w:val="00700102"/>
    <w:rsid w:val="00700805"/>
    <w:rsid w:val="00707506"/>
    <w:rsid w:val="00711291"/>
    <w:rsid w:val="007166D7"/>
    <w:rsid w:val="007179DF"/>
    <w:rsid w:val="00724467"/>
    <w:rsid w:val="00732E35"/>
    <w:rsid w:val="00734722"/>
    <w:rsid w:val="00734D9F"/>
    <w:rsid w:val="00737282"/>
    <w:rsid w:val="00737B25"/>
    <w:rsid w:val="007411DB"/>
    <w:rsid w:val="0074301F"/>
    <w:rsid w:val="0075002B"/>
    <w:rsid w:val="00752A18"/>
    <w:rsid w:val="0075704E"/>
    <w:rsid w:val="007630DA"/>
    <w:rsid w:val="007634CC"/>
    <w:rsid w:val="00765ADF"/>
    <w:rsid w:val="007676A0"/>
    <w:rsid w:val="00773063"/>
    <w:rsid w:val="00774545"/>
    <w:rsid w:val="00776D65"/>
    <w:rsid w:val="007817D7"/>
    <w:rsid w:val="00787A83"/>
    <w:rsid w:val="00790BEF"/>
    <w:rsid w:val="0079293E"/>
    <w:rsid w:val="00794395"/>
    <w:rsid w:val="007A03F6"/>
    <w:rsid w:val="007A14B4"/>
    <w:rsid w:val="007A17E7"/>
    <w:rsid w:val="007A3B97"/>
    <w:rsid w:val="007A6451"/>
    <w:rsid w:val="007B0E01"/>
    <w:rsid w:val="007B140F"/>
    <w:rsid w:val="007B3EF0"/>
    <w:rsid w:val="007B6414"/>
    <w:rsid w:val="007B717A"/>
    <w:rsid w:val="007C30AD"/>
    <w:rsid w:val="007C5CA0"/>
    <w:rsid w:val="007D03C2"/>
    <w:rsid w:val="007D098A"/>
    <w:rsid w:val="007D1D53"/>
    <w:rsid w:val="007D1DE8"/>
    <w:rsid w:val="007D495C"/>
    <w:rsid w:val="007E2B8B"/>
    <w:rsid w:val="007E3ED3"/>
    <w:rsid w:val="007E613C"/>
    <w:rsid w:val="007F3063"/>
    <w:rsid w:val="007F4781"/>
    <w:rsid w:val="007F7E2A"/>
    <w:rsid w:val="00802624"/>
    <w:rsid w:val="008062A8"/>
    <w:rsid w:val="00806756"/>
    <w:rsid w:val="00807131"/>
    <w:rsid w:val="008103A7"/>
    <w:rsid w:val="008110A0"/>
    <w:rsid w:val="00814DA1"/>
    <w:rsid w:val="00815C4D"/>
    <w:rsid w:val="00816889"/>
    <w:rsid w:val="008171A3"/>
    <w:rsid w:val="008232CE"/>
    <w:rsid w:val="008352DA"/>
    <w:rsid w:val="00836A82"/>
    <w:rsid w:val="008404B7"/>
    <w:rsid w:val="0084140D"/>
    <w:rsid w:val="008448D0"/>
    <w:rsid w:val="00847942"/>
    <w:rsid w:val="00854600"/>
    <w:rsid w:val="0086298A"/>
    <w:rsid w:val="0086760F"/>
    <w:rsid w:val="008676CA"/>
    <w:rsid w:val="008724F3"/>
    <w:rsid w:val="0087593D"/>
    <w:rsid w:val="00875E55"/>
    <w:rsid w:val="00880E6E"/>
    <w:rsid w:val="00881EB7"/>
    <w:rsid w:val="00883D23"/>
    <w:rsid w:val="008915E5"/>
    <w:rsid w:val="00892934"/>
    <w:rsid w:val="008954FC"/>
    <w:rsid w:val="008975FB"/>
    <w:rsid w:val="008A0280"/>
    <w:rsid w:val="008A1661"/>
    <w:rsid w:val="008A31E8"/>
    <w:rsid w:val="008A348C"/>
    <w:rsid w:val="008A37E3"/>
    <w:rsid w:val="008B3407"/>
    <w:rsid w:val="008B4183"/>
    <w:rsid w:val="008B55CC"/>
    <w:rsid w:val="008B5E84"/>
    <w:rsid w:val="008C114D"/>
    <w:rsid w:val="008C2D63"/>
    <w:rsid w:val="008C4AF0"/>
    <w:rsid w:val="008C5BD6"/>
    <w:rsid w:val="008D1A30"/>
    <w:rsid w:val="008D2E33"/>
    <w:rsid w:val="008D6776"/>
    <w:rsid w:val="008E182E"/>
    <w:rsid w:val="008E7228"/>
    <w:rsid w:val="008E7D26"/>
    <w:rsid w:val="008F1361"/>
    <w:rsid w:val="008F3441"/>
    <w:rsid w:val="008F4A6B"/>
    <w:rsid w:val="008F73F4"/>
    <w:rsid w:val="008F77FE"/>
    <w:rsid w:val="009034CC"/>
    <w:rsid w:val="00904F65"/>
    <w:rsid w:val="00906DBC"/>
    <w:rsid w:val="00913B85"/>
    <w:rsid w:val="009173C6"/>
    <w:rsid w:val="009173EC"/>
    <w:rsid w:val="00922AF5"/>
    <w:rsid w:val="00935D88"/>
    <w:rsid w:val="009360AB"/>
    <w:rsid w:val="009369B1"/>
    <w:rsid w:val="00943287"/>
    <w:rsid w:val="00944797"/>
    <w:rsid w:val="0094593E"/>
    <w:rsid w:val="00946FE7"/>
    <w:rsid w:val="00950952"/>
    <w:rsid w:val="009572CC"/>
    <w:rsid w:val="009606FE"/>
    <w:rsid w:val="009609D7"/>
    <w:rsid w:val="00960E58"/>
    <w:rsid w:val="0096152B"/>
    <w:rsid w:val="00961D77"/>
    <w:rsid w:val="009729DA"/>
    <w:rsid w:val="00981D6D"/>
    <w:rsid w:val="009909C2"/>
    <w:rsid w:val="00990E07"/>
    <w:rsid w:val="009922CA"/>
    <w:rsid w:val="009943C0"/>
    <w:rsid w:val="009955A2"/>
    <w:rsid w:val="009959F0"/>
    <w:rsid w:val="009A0AF9"/>
    <w:rsid w:val="009A1A17"/>
    <w:rsid w:val="009A1E5F"/>
    <w:rsid w:val="009A3D66"/>
    <w:rsid w:val="009A64BD"/>
    <w:rsid w:val="009A6CDC"/>
    <w:rsid w:val="009B08C6"/>
    <w:rsid w:val="009B6A8A"/>
    <w:rsid w:val="009C3457"/>
    <w:rsid w:val="009C7BBA"/>
    <w:rsid w:val="009D10F8"/>
    <w:rsid w:val="009D3AB7"/>
    <w:rsid w:val="009D4FC2"/>
    <w:rsid w:val="009D5AEC"/>
    <w:rsid w:val="009E10DE"/>
    <w:rsid w:val="009E4194"/>
    <w:rsid w:val="009F2541"/>
    <w:rsid w:val="009F48AC"/>
    <w:rsid w:val="00A041F3"/>
    <w:rsid w:val="00A044DD"/>
    <w:rsid w:val="00A10BAC"/>
    <w:rsid w:val="00A13BE5"/>
    <w:rsid w:val="00A219D7"/>
    <w:rsid w:val="00A22A02"/>
    <w:rsid w:val="00A26E71"/>
    <w:rsid w:val="00A27751"/>
    <w:rsid w:val="00A309DD"/>
    <w:rsid w:val="00A45F57"/>
    <w:rsid w:val="00A50989"/>
    <w:rsid w:val="00A50D92"/>
    <w:rsid w:val="00A513A7"/>
    <w:rsid w:val="00A53CCF"/>
    <w:rsid w:val="00A55E04"/>
    <w:rsid w:val="00A62CE5"/>
    <w:rsid w:val="00A70A2D"/>
    <w:rsid w:val="00A74D85"/>
    <w:rsid w:val="00A754F4"/>
    <w:rsid w:val="00A81F93"/>
    <w:rsid w:val="00A91322"/>
    <w:rsid w:val="00A97CED"/>
    <w:rsid w:val="00AA4811"/>
    <w:rsid w:val="00AA566C"/>
    <w:rsid w:val="00AA6BDB"/>
    <w:rsid w:val="00AA7475"/>
    <w:rsid w:val="00AB6228"/>
    <w:rsid w:val="00AB66CD"/>
    <w:rsid w:val="00AB6FF2"/>
    <w:rsid w:val="00AB71E5"/>
    <w:rsid w:val="00AC12A8"/>
    <w:rsid w:val="00AC5478"/>
    <w:rsid w:val="00AC7B93"/>
    <w:rsid w:val="00AD1980"/>
    <w:rsid w:val="00AE045E"/>
    <w:rsid w:val="00AE36C8"/>
    <w:rsid w:val="00AE5F17"/>
    <w:rsid w:val="00AF1B4C"/>
    <w:rsid w:val="00AF27AB"/>
    <w:rsid w:val="00AF7183"/>
    <w:rsid w:val="00B00D7F"/>
    <w:rsid w:val="00B04C91"/>
    <w:rsid w:val="00B04D7F"/>
    <w:rsid w:val="00B05C6F"/>
    <w:rsid w:val="00B06843"/>
    <w:rsid w:val="00B0716D"/>
    <w:rsid w:val="00B11714"/>
    <w:rsid w:val="00B1173E"/>
    <w:rsid w:val="00B13A4A"/>
    <w:rsid w:val="00B17C01"/>
    <w:rsid w:val="00B20098"/>
    <w:rsid w:val="00B2105B"/>
    <w:rsid w:val="00B23588"/>
    <w:rsid w:val="00B27D36"/>
    <w:rsid w:val="00B304AB"/>
    <w:rsid w:val="00B3147E"/>
    <w:rsid w:val="00B32E12"/>
    <w:rsid w:val="00B33BBC"/>
    <w:rsid w:val="00B33F9B"/>
    <w:rsid w:val="00B354C0"/>
    <w:rsid w:val="00B36319"/>
    <w:rsid w:val="00B36FB3"/>
    <w:rsid w:val="00B37CC8"/>
    <w:rsid w:val="00B40168"/>
    <w:rsid w:val="00B404F1"/>
    <w:rsid w:val="00B41A0B"/>
    <w:rsid w:val="00B43A25"/>
    <w:rsid w:val="00B47304"/>
    <w:rsid w:val="00B507AD"/>
    <w:rsid w:val="00B52140"/>
    <w:rsid w:val="00B5593A"/>
    <w:rsid w:val="00B60145"/>
    <w:rsid w:val="00B649AB"/>
    <w:rsid w:val="00B65A07"/>
    <w:rsid w:val="00B65F4D"/>
    <w:rsid w:val="00B70D52"/>
    <w:rsid w:val="00B7567E"/>
    <w:rsid w:val="00B80379"/>
    <w:rsid w:val="00B83F42"/>
    <w:rsid w:val="00B9744E"/>
    <w:rsid w:val="00BA2938"/>
    <w:rsid w:val="00BA396E"/>
    <w:rsid w:val="00BB0A10"/>
    <w:rsid w:val="00BB17B4"/>
    <w:rsid w:val="00BB1EE3"/>
    <w:rsid w:val="00BB49D5"/>
    <w:rsid w:val="00BB4D84"/>
    <w:rsid w:val="00BB5297"/>
    <w:rsid w:val="00BB68D1"/>
    <w:rsid w:val="00BB7359"/>
    <w:rsid w:val="00BC0E3C"/>
    <w:rsid w:val="00BC16F1"/>
    <w:rsid w:val="00BC60B8"/>
    <w:rsid w:val="00BC6800"/>
    <w:rsid w:val="00BD4097"/>
    <w:rsid w:val="00BD48DC"/>
    <w:rsid w:val="00BD5C71"/>
    <w:rsid w:val="00BD79E8"/>
    <w:rsid w:val="00BE0728"/>
    <w:rsid w:val="00BE0D23"/>
    <w:rsid w:val="00BE6127"/>
    <w:rsid w:val="00BE614C"/>
    <w:rsid w:val="00BF1199"/>
    <w:rsid w:val="00BF1ACD"/>
    <w:rsid w:val="00BF1AEB"/>
    <w:rsid w:val="00BF2220"/>
    <w:rsid w:val="00BF25C0"/>
    <w:rsid w:val="00C047C4"/>
    <w:rsid w:val="00C163D3"/>
    <w:rsid w:val="00C21702"/>
    <w:rsid w:val="00C21AC6"/>
    <w:rsid w:val="00C2730B"/>
    <w:rsid w:val="00C311EF"/>
    <w:rsid w:val="00C33DC1"/>
    <w:rsid w:val="00C34FAF"/>
    <w:rsid w:val="00C378CA"/>
    <w:rsid w:val="00C40175"/>
    <w:rsid w:val="00C43F18"/>
    <w:rsid w:val="00C4526F"/>
    <w:rsid w:val="00C47E5E"/>
    <w:rsid w:val="00C50B04"/>
    <w:rsid w:val="00C527D0"/>
    <w:rsid w:val="00C52A44"/>
    <w:rsid w:val="00C53674"/>
    <w:rsid w:val="00C55D82"/>
    <w:rsid w:val="00C60C8F"/>
    <w:rsid w:val="00C618C3"/>
    <w:rsid w:val="00C67DBC"/>
    <w:rsid w:val="00C70B3C"/>
    <w:rsid w:val="00C7172A"/>
    <w:rsid w:val="00C7554E"/>
    <w:rsid w:val="00C77553"/>
    <w:rsid w:val="00C779B0"/>
    <w:rsid w:val="00C85F6D"/>
    <w:rsid w:val="00C90DDB"/>
    <w:rsid w:val="00C91AEA"/>
    <w:rsid w:val="00CA0ECA"/>
    <w:rsid w:val="00CA0EDB"/>
    <w:rsid w:val="00CA768F"/>
    <w:rsid w:val="00CB7458"/>
    <w:rsid w:val="00CC0E86"/>
    <w:rsid w:val="00CC40CE"/>
    <w:rsid w:val="00CC583D"/>
    <w:rsid w:val="00CD0D37"/>
    <w:rsid w:val="00CD525D"/>
    <w:rsid w:val="00CD59B7"/>
    <w:rsid w:val="00CD7156"/>
    <w:rsid w:val="00CD7A36"/>
    <w:rsid w:val="00CE17C2"/>
    <w:rsid w:val="00CE322F"/>
    <w:rsid w:val="00CE503A"/>
    <w:rsid w:val="00CF3840"/>
    <w:rsid w:val="00CF4F05"/>
    <w:rsid w:val="00D00B01"/>
    <w:rsid w:val="00D05218"/>
    <w:rsid w:val="00D15438"/>
    <w:rsid w:val="00D162B4"/>
    <w:rsid w:val="00D16C68"/>
    <w:rsid w:val="00D170D0"/>
    <w:rsid w:val="00D229FB"/>
    <w:rsid w:val="00D316E9"/>
    <w:rsid w:val="00D3789D"/>
    <w:rsid w:val="00D414FC"/>
    <w:rsid w:val="00D439EB"/>
    <w:rsid w:val="00D4465E"/>
    <w:rsid w:val="00D46176"/>
    <w:rsid w:val="00D54477"/>
    <w:rsid w:val="00D6026C"/>
    <w:rsid w:val="00D6090B"/>
    <w:rsid w:val="00D6115A"/>
    <w:rsid w:val="00D637EA"/>
    <w:rsid w:val="00D75490"/>
    <w:rsid w:val="00D83446"/>
    <w:rsid w:val="00D85A8F"/>
    <w:rsid w:val="00D87EB3"/>
    <w:rsid w:val="00D9107A"/>
    <w:rsid w:val="00D95A64"/>
    <w:rsid w:val="00D9781E"/>
    <w:rsid w:val="00DB2614"/>
    <w:rsid w:val="00DB2B9D"/>
    <w:rsid w:val="00DB3752"/>
    <w:rsid w:val="00DB5A14"/>
    <w:rsid w:val="00DC02B5"/>
    <w:rsid w:val="00DC2DAC"/>
    <w:rsid w:val="00DC61DF"/>
    <w:rsid w:val="00DD1C37"/>
    <w:rsid w:val="00DE22E1"/>
    <w:rsid w:val="00DE5441"/>
    <w:rsid w:val="00DE6685"/>
    <w:rsid w:val="00DE7471"/>
    <w:rsid w:val="00DF2680"/>
    <w:rsid w:val="00E06D01"/>
    <w:rsid w:val="00E12A3D"/>
    <w:rsid w:val="00E16B7A"/>
    <w:rsid w:val="00E207BF"/>
    <w:rsid w:val="00E2192D"/>
    <w:rsid w:val="00E24FFC"/>
    <w:rsid w:val="00E255F2"/>
    <w:rsid w:val="00E26ADA"/>
    <w:rsid w:val="00E26D34"/>
    <w:rsid w:val="00E27443"/>
    <w:rsid w:val="00E278E8"/>
    <w:rsid w:val="00E32FB3"/>
    <w:rsid w:val="00E3545C"/>
    <w:rsid w:val="00E45971"/>
    <w:rsid w:val="00E46471"/>
    <w:rsid w:val="00E464CD"/>
    <w:rsid w:val="00E57323"/>
    <w:rsid w:val="00E73438"/>
    <w:rsid w:val="00E801A9"/>
    <w:rsid w:val="00E84722"/>
    <w:rsid w:val="00E94145"/>
    <w:rsid w:val="00E9433D"/>
    <w:rsid w:val="00E951D5"/>
    <w:rsid w:val="00E95581"/>
    <w:rsid w:val="00E97647"/>
    <w:rsid w:val="00E9796E"/>
    <w:rsid w:val="00EA0FD9"/>
    <w:rsid w:val="00EA328F"/>
    <w:rsid w:val="00EA5A30"/>
    <w:rsid w:val="00EB6106"/>
    <w:rsid w:val="00EC0837"/>
    <w:rsid w:val="00EC1A17"/>
    <w:rsid w:val="00ED04D7"/>
    <w:rsid w:val="00ED1B63"/>
    <w:rsid w:val="00ED5415"/>
    <w:rsid w:val="00ED6AB7"/>
    <w:rsid w:val="00EE01F2"/>
    <w:rsid w:val="00EE0FCC"/>
    <w:rsid w:val="00EE11BD"/>
    <w:rsid w:val="00EE4511"/>
    <w:rsid w:val="00EF421B"/>
    <w:rsid w:val="00EF43BA"/>
    <w:rsid w:val="00EF539E"/>
    <w:rsid w:val="00EF602D"/>
    <w:rsid w:val="00EF6AAD"/>
    <w:rsid w:val="00F00D8F"/>
    <w:rsid w:val="00F04F76"/>
    <w:rsid w:val="00F05248"/>
    <w:rsid w:val="00F107FD"/>
    <w:rsid w:val="00F1542B"/>
    <w:rsid w:val="00F17FDC"/>
    <w:rsid w:val="00F22D61"/>
    <w:rsid w:val="00F23CC9"/>
    <w:rsid w:val="00F31BD4"/>
    <w:rsid w:val="00F3273B"/>
    <w:rsid w:val="00F42070"/>
    <w:rsid w:val="00F460D4"/>
    <w:rsid w:val="00F5450E"/>
    <w:rsid w:val="00F57611"/>
    <w:rsid w:val="00F57FB3"/>
    <w:rsid w:val="00F63804"/>
    <w:rsid w:val="00F63DAA"/>
    <w:rsid w:val="00F679D5"/>
    <w:rsid w:val="00F7132F"/>
    <w:rsid w:val="00F741EC"/>
    <w:rsid w:val="00F7446D"/>
    <w:rsid w:val="00F77203"/>
    <w:rsid w:val="00F80A47"/>
    <w:rsid w:val="00F80A90"/>
    <w:rsid w:val="00F822E7"/>
    <w:rsid w:val="00F83CCD"/>
    <w:rsid w:val="00F851EA"/>
    <w:rsid w:val="00F90065"/>
    <w:rsid w:val="00F90517"/>
    <w:rsid w:val="00F9167F"/>
    <w:rsid w:val="00F94C8B"/>
    <w:rsid w:val="00F95409"/>
    <w:rsid w:val="00F978CE"/>
    <w:rsid w:val="00FA0749"/>
    <w:rsid w:val="00FA2A0E"/>
    <w:rsid w:val="00FA50EC"/>
    <w:rsid w:val="00FB465E"/>
    <w:rsid w:val="00FB4F19"/>
    <w:rsid w:val="00FB58D0"/>
    <w:rsid w:val="00FC31A8"/>
    <w:rsid w:val="00FC5C0D"/>
    <w:rsid w:val="00FC7C1B"/>
    <w:rsid w:val="00FC7E0B"/>
    <w:rsid w:val="00FD162F"/>
    <w:rsid w:val="00FD4C95"/>
    <w:rsid w:val="00FD57FC"/>
    <w:rsid w:val="00FE17CC"/>
    <w:rsid w:val="00FE42E0"/>
    <w:rsid w:val="00FE52F0"/>
    <w:rsid w:val="00FF158D"/>
    <w:rsid w:val="00FF3A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40C27"/>
  <w15:chartTrackingRefBased/>
  <w15:docId w15:val="{A1D3437C-9A22-4D53-A737-6C23DE18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1A86"/>
    <w:pPr>
      <w:spacing w:before="120" w:after="12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217F2C"/>
    <w:pPr>
      <w:keepNext/>
      <w:keepLines/>
      <w:outlineLvl w:val="0"/>
    </w:pPr>
    <w:rPr>
      <w:rFonts w:eastAsiaTheme="majorEastAsia"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595300"/>
    <w:pPr>
      <w:keepNext/>
      <w:keepLines/>
      <w:outlineLvl w:val="1"/>
    </w:pPr>
    <w:rPr>
      <w:rFonts w:eastAsiaTheme="majorEastAsia" w:cstheme="majorBidi"/>
      <w:color w:val="2F5496" w:themeColor="accent1" w:themeShade="BF"/>
      <w:sz w:val="40"/>
      <w:szCs w:val="26"/>
    </w:rPr>
  </w:style>
  <w:style w:type="paragraph" w:styleId="Heading3">
    <w:name w:val="heading 3"/>
    <w:basedOn w:val="Normal"/>
    <w:next w:val="Normal"/>
    <w:link w:val="Heading3Char"/>
    <w:uiPriority w:val="9"/>
    <w:unhideWhenUsed/>
    <w:qFormat/>
    <w:rsid w:val="00595300"/>
    <w:pPr>
      <w:keepNext/>
      <w:keepLines/>
      <w:outlineLvl w:val="2"/>
    </w:pPr>
    <w:rPr>
      <w:rFonts w:eastAsiaTheme="majorEastAsia" w:cstheme="majorBidi"/>
      <w:color w:val="1F3763" w:themeColor="accent1" w:themeShade="7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F2C"/>
    <w:rPr>
      <w:rFonts w:ascii="Open Sans" w:eastAsiaTheme="majorEastAsia" w:hAnsi="Open Sans" w:cstheme="majorBidi"/>
      <w:color w:val="2F5496" w:themeColor="accent1" w:themeShade="BF"/>
      <w:sz w:val="48"/>
      <w:szCs w:val="32"/>
    </w:rPr>
  </w:style>
  <w:style w:type="table" w:styleId="TableGrid">
    <w:name w:val="Table Grid"/>
    <w:basedOn w:val="TableNormal"/>
    <w:uiPriority w:val="39"/>
    <w:rsid w:val="00B07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7411D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Heading2Char">
    <w:name w:val="Heading 2 Char"/>
    <w:basedOn w:val="DefaultParagraphFont"/>
    <w:link w:val="Heading2"/>
    <w:uiPriority w:val="9"/>
    <w:rsid w:val="00595300"/>
    <w:rPr>
      <w:rFonts w:ascii="Open Sans" w:eastAsiaTheme="majorEastAsia" w:hAnsi="Open Sans" w:cstheme="majorBidi"/>
      <w:color w:val="2F5496" w:themeColor="accent1" w:themeShade="BF"/>
      <w:sz w:val="40"/>
      <w:szCs w:val="26"/>
    </w:rPr>
  </w:style>
  <w:style w:type="character" w:customStyle="1" w:styleId="Heading3Char">
    <w:name w:val="Heading 3 Char"/>
    <w:basedOn w:val="DefaultParagraphFont"/>
    <w:link w:val="Heading3"/>
    <w:uiPriority w:val="9"/>
    <w:rsid w:val="00595300"/>
    <w:rPr>
      <w:rFonts w:ascii="Open Sans" w:eastAsiaTheme="majorEastAsia" w:hAnsi="Open Sans" w:cstheme="majorBidi"/>
      <w:color w:val="1F3763" w:themeColor="accent1" w:themeShade="7F"/>
      <w:sz w:val="28"/>
      <w:szCs w:val="24"/>
    </w:rPr>
  </w:style>
  <w:style w:type="table" w:styleId="GridTable4-Accent2">
    <w:name w:val="Grid Table 4 Accent 2"/>
    <w:basedOn w:val="TableNormal"/>
    <w:uiPriority w:val="49"/>
    <w:rsid w:val="00AB6FF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4">
    <w:name w:val="Grid Table 4 Accent 4"/>
    <w:basedOn w:val="TableNormal"/>
    <w:uiPriority w:val="49"/>
    <w:rsid w:val="00B13A4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3">
    <w:name w:val="Grid Table 4 Accent 3"/>
    <w:basedOn w:val="TableNormal"/>
    <w:uiPriority w:val="49"/>
    <w:rsid w:val="00B13A4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60E58"/>
    <w:pPr>
      <w:tabs>
        <w:tab w:val="center" w:pos="4513"/>
        <w:tab w:val="right" w:pos="9026"/>
      </w:tabs>
      <w:spacing w:before="0" w:after="0"/>
    </w:pPr>
  </w:style>
  <w:style w:type="character" w:customStyle="1" w:styleId="HeaderChar">
    <w:name w:val="Header Char"/>
    <w:basedOn w:val="DefaultParagraphFont"/>
    <w:link w:val="Header"/>
    <w:uiPriority w:val="99"/>
    <w:rsid w:val="00960E58"/>
    <w:rPr>
      <w:rFonts w:ascii="Open Sans" w:hAnsi="Open Sans"/>
    </w:rPr>
  </w:style>
  <w:style w:type="paragraph" w:styleId="Footer">
    <w:name w:val="footer"/>
    <w:basedOn w:val="Normal"/>
    <w:link w:val="FooterChar"/>
    <w:uiPriority w:val="99"/>
    <w:unhideWhenUsed/>
    <w:rsid w:val="00960E58"/>
    <w:pPr>
      <w:tabs>
        <w:tab w:val="center" w:pos="4513"/>
        <w:tab w:val="right" w:pos="9026"/>
      </w:tabs>
      <w:spacing w:before="0" w:after="0"/>
    </w:pPr>
  </w:style>
  <w:style w:type="character" w:customStyle="1" w:styleId="FooterChar">
    <w:name w:val="Footer Char"/>
    <w:basedOn w:val="DefaultParagraphFont"/>
    <w:link w:val="Footer"/>
    <w:uiPriority w:val="99"/>
    <w:rsid w:val="00960E58"/>
    <w:rPr>
      <w:rFonts w:ascii="Open Sans" w:hAnsi="Open Sans"/>
    </w:rPr>
  </w:style>
  <w:style w:type="character" w:styleId="Hyperlink">
    <w:name w:val="Hyperlink"/>
    <w:basedOn w:val="DefaultParagraphFont"/>
    <w:uiPriority w:val="99"/>
    <w:unhideWhenUsed/>
    <w:rsid w:val="0056797C"/>
    <w:rPr>
      <w:color w:val="0563C1" w:themeColor="hyperlink"/>
      <w:u w:val="single"/>
    </w:rPr>
  </w:style>
  <w:style w:type="character" w:styleId="UnresolvedMention">
    <w:name w:val="Unresolved Mention"/>
    <w:basedOn w:val="DefaultParagraphFont"/>
    <w:uiPriority w:val="99"/>
    <w:semiHidden/>
    <w:unhideWhenUsed/>
    <w:rsid w:val="0056797C"/>
    <w:rPr>
      <w:color w:val="808080"/>
      <w:shd w:val="clear" w:color="auto" w:fill="E6E6E6"/>
    </w:rPr>
  </w:style>
  <w:style w:type="paragraph" w:styleId="EndnoteText">
    <w:name w:val="endnote text"/>
    <w:basedOn w:val="Normal"/>
    <w:link w:val="EndnoteTextChar"/>
    <w:uiPriority w:val="99"/>
    <w:semiHidden/>
    <w:unhideWhenUsed/>
    <w:rsid w:val="005411FB"/>
    <w:pPr>
      <w:spacing w:before="0" w:after="0" w:line="360" w:lineRule="auto"/>
    </w:pPr>
    <w:rPr>
      <w:rFonts w:eastAsia="Calibri" w:cs="Times New Roman"/>
      <w:sz w:val="20"/>
      <w:szCs w:val="20"/>
    </w:rPr>
  </w:style>
  <w:style w:type="character" w:customStyle="1" w:styleId="EndnoteTextChar">
    <w:name w:val="Endnote Text Char"/>
    <w:basedOn w:val="DefaultParagraphFont"/>
    <w:link w:val="EndnoteText"/>
    <w:uiPriority w:val="99"/>
    <w:semiHidden/>
    <w:rsid w:val="005411FB"/>
    <w:rPr>
      <w:rFonts w:ascii="Times New Roman" w:eastAsia="Calibri" w:hAnsi="Times New Roman" w:cs="Times New Roman"/>
      <w:sz w:val="20"/>
      <w:szCs w:val="20"/>
    </w:rPr>
  </w:style>
  <w:style w:type="paragraph" w:styleId="FootnoteText">
    <w:name w:val="footnote text"/>
    <w:basedOn w:val="Normal"/>
    <w:link w:val="FootnoteTextChar"/>
    <w:uiPriority w:val="99"/>
    <w:semiHidden/>
    <w:unhideWhenUsed/>
    <w:rsid w:val="009E10DE"/>
    <w:pPr>
      <w:spacing w:before="0" w:after="0"/>
    </w:pPr>
    <w:rPr>
      <w:sz w:val="20"/>
      <w:szCs w:val="20"/>
    </w:rPr>
  </w:style>
  <w:style w:type="character" w:customStyle="1" w:styleId="FootnoteTextChar">
    <w:name w:val="Footnote Text Char"/>
    <w:basedOn w:val="DefaultParagraphFont"/>
    <w:link w:val="FootnoteText"/>
    <w:uiPriority w:val="99"/>
    <w:semiHidden/>
    <w:rsid w:val="009E10DE"/>
    <w:rPr>
      <w:rFonts w:ascii="Times New Roman" w:hAnsi="Times New Roman"/>
      <w:sz w:val="20"/>
      <w:szCs w:val="20"/>
    </w:rPr>
  </w:style>
  <w:style w:type="character" w:styleId="FootnoteReference">
    <w:name w:val="footnote reference"/>
    <w:basedOn w:val="DefaultParagraphFont"/>
    <w:uiPriority w:val="99"/>
    <w:semiHidden/>
    <w:unhideWhenUsed/>
    <w:rsid w:val="009E10DE"/>
    <w:rPr>
      <w:vertAlign w:val="superscript"/>
    </w:rPr>
  </w:style>
  <w:style w:type="character" w:styleId="PlaceholderText">
    <w:name w:val="Placeholder Text"/>
    <w:basedOn w:val="DefaultParagraphFont"/>
    <w:uiPriority w:val="99"/>
    <w:semiHidden/>
    <w:rsid w:val="00E84722"/>
    <w:rPr>
      <w:color w:val="808080"/>
    </w:rPr>
  </w:style>
  <w:style w:type="paragraph" w:styleId="ListParagraph">
    <w:name w:val="List Paragraph"/>
    <w:basedOn w:val="Normal"/>
    <w:uiPriority w:val="34"/>
    <w:qFormat/>
    <w:rsid w:val="00FA0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package" Target="embeddings/Microsoft_Excel_Worksheet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43385-7424-4EDC-BC36-FFFB3A98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1194</TotalTime>
  <Pages>4</Pages>
  <Words>1711</Words>
  <Characters>9758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Pervez Rizvi</dc:creator>
  <cp:keywords/>
  <dc:description/>
  <cp:lastModifiedBy>Pervez Rizvi</cp:lastModifiedBy>
  <cp:revision>670</cp:revision>
  <dcterms:created xsi:type="dcterms:W3CDTF">2017-10-01T09:03:00Z</dcterms:created>
  <dcterms:modified xsi:type="dcterms:W3CDTF">2018-11-07T20:15:00Z</dcterms:modified>
</cp:coreProperties>
</file>